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4D9A7" w14:textId="3F3A43A2" w:rsidR="00FF65DB" w:rsidRPr="00FF65DB" w:rsidRDefault="00874567" w:rsidP="00FF65DB">
      <w:pPr>
        <w:snapToGrid w:val="0"/>
        <w:spacing w:line="480" w:lineRule="auto"/>
        <w:jc w:val="center"/>
        <w:outlineLvl w:val="0"/>
        <w:rPr>
          <w:b/>
          <w:sz w:val="32"/>
          <w:szCs w:val="32"/>
        </w:rPr>
      </w:pPr>
      <w:bookmarkStart w:id="0" w:name="_Hlk124344118"/>
      <w:bookmarkStart w:id="1" w:name="OLE_LINK65"/>
      <w:bookmarkStart w:id="2" w:name="OLE_LINK98"/>
      <w:bookmarkStart w:id="3" w:name="OLE_LINK105"/>
      <w:bookmarkStart w:id="4" w:name="OLE_LINK106"/>
      <w:bookmarkStart w:id="5" w:name="OLE_LINK83"/>
      <w:bookmarkStart w:id="6" w:name="OLE_LINK84"/>
      <w:r w:rsidRPr="00874567">
        <w:rPr>
          <w:b/>
          <w:sz w:val="32"/>
          <w:szCs w:val="32"/>
        </w:rPr>
        <w:t>Valorization</w:t>
      </w:r>
      <w:r w:rsidR="000D7881" w:rsidRPr="00FF65DB">
        <w:rPr>
          <w:b/>
          <w:sz w:val="32"/>
          <w:szCs w:val="32"/>
        </w:rPr>
        <w:t xml:space="preserve"> </w:t>
      </w:r>
      <w:bookmarkStart w:id="7" w:name="OLE_LINK56"/>
      <w:r w:rsidR="00973551">
        <w:rPr>
          <w:b/>
          <w:sz w:val="32"/>
          <w:szCs w:val="32"/>
        </w:rPr>
        <w:t xml:space="preserve">of </w:t>
      </w:r>
      <w:r w:rsidR="000D7881" w:rsidRPr="00FF65DB">
        <w:rPr>
          <w:b/>
          <w:sz w:val="32"/>
          <w:szCs w:val="32"/>
        </w:rPr>
        <w:t xml:space="preserve">thermally hydrolyzed sludge with clay </w:t>
      </w:r>
    </w:p>
    <w:p w14:paraId="364664A3" w14:textId="262AF293" w:rsidR="000D7881" w:rsidRPr="00FF65DB" w:rsidRDefault="000D7881" w:rsidP="00FF65DB">
      <w:pPr>
        <w:snapToGrid w:val="0"/>
        <w:spacing w:line="480" w:lineRule="auto"/>
        <w:jc w:val="center"/>
        <w:outlineLvl w:val="0"/>
        <w:rPr>
          <w:b/>
          <w:sz w:val="32"/>
          <w:szCs w:val="32"/>
        </w:rPr>
      </w:pPr>
      <w:r w:rsidRPr="00FF65DB">
        <w:rPr>
          <w:b/>
          <w:sz w:val="32"/>
          <w:szCs w:val="32"/>
        </w:rPr>
        <w:t xml:space="preserve">for </w:t>
      </w:r>
      <w:r w:rsidR="005611C2">
        <w:rPr>
          <w:b/>
          <w:sz w:val="32"/>
          <w:szCs w:val="32"/>
        </w:rPr>
        <w:t>sintering</w:t>
      </w:r>
      <w:r w:rsidR="005611C2" w:rsidRPr="00FF65DB">
        <w:rPr>
          <w:b/>
          <w:sz w:val="32"/>
          <w:szCs w:val="32"/>
        </w:rPr>
        <w:t xml:space="preserve"> </w:t>
      </w:r>
      <w:r w:rsidRPr="00FF65DB">
        <w:rPr>
          <w:b/>
          <w:sz w:val="32"/>
          <w:szCs w:val="32"/>
        </w:rPr>
        <w:t>of ceramic tiles</w:t>
      </w:r>
      <w:bookmarkEnd w:id="0"/>
      <w:bookmarkEnd w:id="7"/>
    </w:p>
    <w:p w14:paraId="2E0BDE7D" w14:textId="1CA57E1C" w:rsidR="000D7881" w:rsidRPr="00FF65DB" w:rsidRDefault="000D7881" w:rsidP="00FF65DB">
      <w:pPr>
        <w:snapToGrid w:val="0"/>
        <w:spacing w:before="360" w:after="240" w:line="480" w:lineRule="auto"/>
        <w:jc w:val="center"/>
        <w:rPr>
          <w:rFonts w:eastAsia="仿宋_GB2312"/>
          <w:b/>
          <w:vertAlign w:val="superscript"/>
        </w:rPr>
      </w:pPr>
      <w:bookmarkStart w:id="8" w:name="_Hlk124344272"/>
      <w:bookmarkStart w:id="9" w:name="_Hlk120870554"/>
      <w:bookmarkEnd w:id="1"/>
      <w:bookmarkEnd w:id="2"/>
      <w:bookmarkEnd w:id="3"/>
      <w:bookmarkEnd w:id="4"/>
      <w:r w:rsidRPr="00FF65DB">
        <w:rPr>
          <w:rFonts w:eastAsia="仿宋_GB2312"/>
          <w:b/>
        </w:rPr>
        <w:t xml:space="preserve">Lei </w:t>
      </w:r>
      <w:proofErr w:type="spellStart"/>
      <w:r w:rsidRPr="00FF65DB">
        <w:rPr>
          <w:rFonts w:eastAsia="仿宋_GB2312"/>
          <w:b/>
        </w:rPr>
        <w:t>Wen</w:t>
      </w:r>
      <w:r w:rsidRPr="00FF65DB">
        <w:rPr>
          <w:rFonts w:eastAsia="仿宋_GB2312"/>
          <w:b/>
          <w:vertAlign w:val="superscript"/>
        </w:rPr>
        <w:t>a</w:t>
      </w:r>
      <w:proofErr w:type="spellEnd"/>
      <w:r w:rsidRPr="00FF65DB">
        <w:rPr>
          <w:rFonts w:eastAsia="仿宋_GB2312"/>
          <w:b/>
        </w:rPr>
        <w:t xml:space="preserve">, </w:t>
      </w:r>
      <w:r w:rsidR="00623B10" w:rsidRPr="00FF65DB">
        <w:rPr>
          <w:rFonts w:eastAsia="仿宋_GB2312"/>
          <w:b/>
        </w:rPr>
        <w:t xml:space="preserve">Lin </w:t>
      </w:r>
      <w:proofErr w:type="spellStart"/>
      <w:r w:rsidR="00623B10" w:rsidRPr="00FF65DB">
        <w:rPr>
          <w:rFonts w:eastAsia="仿宋_GB2312"/>
          <w:b/>
        </w:rPr>
        <w:t>Lin</w:t>
      </w:r>
      <w:r w:rsidR="00623B10" w:rsidRPr="00FF65DB">
        <w:rPr>
          <w:rFonts w:eastAsia="仿宋_GB2312"/>
          <w:b/>
          <w:vertAlign w:val="superscript"/>
        </w:rPr>
        <w:t>b</w:t>
      </w:r>
      <w:proofErr w:type="spellEnd"/>
      <w:r w:rsidR="00623B10" w:rsidRPr="00FF65DB">
        <w:rPr>
          <w:rFonts w:eastAsia="仿宋_GB2312"/>
          <w:b/>
          <w:vertAlign w:val="superscript"/>
        </w:rPr>
        <w:t>*</w:t>
      </w:r>
      <w:r w:rsidR="00623B10" w:rsidRPr="00FF65DB">
        <w:rPr>
          <w:rFonts w:eastAsia="仿宋_GB2312"/>
          <w:b/>
        </w:rPr>
        <w:t xml:space="preserve">, </w:t>
      </w:r>
      <w:r w:rsidRPr="00FF65DB">
        <w:rPr>
          <w:rFonts w:eastAsia="仿宋_GB2312"/>
          <w:b/>
        </w:rPr>
        <w:t xml:space="preserve">Yi-ang </w:t>
      </w:r>
      <w:proofErr w:type="spellStart"/>
      <w:r w:rsidRPr="00FF65DB">
        <w:rPr>
          <w:rFonts w:eastAsia="仿宋_GB2312"/>
          <w:b/>
        </w:rPr>
        <w:t>Fan</w:t>
      </w:r>
      <w:r w:rsidRPr="00FF65DB">
        <w:rPr>
          <w:rFonts w:eastAsia="仿宋_GB2312"/>
          <w:b/>
          <w:vertAlign w:val="superscript"/>
        </w:rPr>
        <w:t>a</w:t>
      </w:r>
      <w:proofErr w:type="spellEnd"/>
      <w:r w:rsidRPr="00FF65DB">
        <w:rPr>
          <w:rFonts w:eastAsia="仿宋_GB2312"/>
          <w:b/>
        </w:rPr>
        <w:t xml:space="preserve">, Yang </w:t>
      </w:r>
      <w:proofErr w:type="spellStart"/>
      <w:r w:rsidRPr="00FF65DB">
        <w:rPr>
          <w:rFonts w:eastAsia="仿宋_GB2312"/>
          <w:b/>
        </w:rPr>
        <w:t>Luo</w:t>
      </w:r>
      <w:r w:rsidR="00623B10" w:rsidRPr="00FF65DB">
        <w:rPr>
          <w:rFonts w:eastAsia="仿宋_GB2312"/>
          <w:b/>
          <w:vertAlign w:val="superscript"/>
        </w:rPr>
        <w:t>c</w:t>
      </w:r>
      <w:proofErr w:type="spellEnd"/>
      <w:r w:rsidRPr="00FF65DB">
        <w:rPr>
          <w:rFonts w:eastAsia="仿宋_GB2312"/>
          <w:b/>
        </w:rPr>
        <w:t xml:space="preserve">, </w:t>
      </w:r>
      <w:bookmarkStart w:id="10" w:name="OLE_LINK88"/>
      <w:r w:rsidRPr="00FF65DB">
        <w:rPr>
          <w:rFonts w:eastAsia="仿宋_GB2312"/>
          <w:b/>
        </w:rPr>
        <w:t xml:space="preserve">Sheng-shou </w:t>
      </w:r>
      <w:bookmarkEnd w:id="10"/>
      <w:r w:rsidRPr="00FF65DB">
        <w:rPr>
          <w:rFonts w:eastAsia="仿宋_GB2312"/>
          <w:b/>
        </w:rPr>
        <w:t>Ma</w:t>
      </w:r>
      <w:r w:rsidRPr="00FF65DB">
        <w:rPr>
          <w:rFonts w:eastAsia="仿宋_GB2312"/>
          <w:b/>
          <w:vertAlign w:val="superscript"/>
        </w:rPr>
        <w:t>a</w:t>
      </w:r>
      <w:r w:rsidRPr="00FF65DB">
        <w:rPr>
          <w:rFonts w:eastAsia="仿宋_GB2312"/>
          <w:b/>
        </w:rPr>
        <w:t xml:space="preserve">, </w:t>
      </w:r>
      <w:bookmarkStart w:id="11" w:name="OLE_LINK89"/>
      <w:r w:rsidRPr="00FF65DB">
        <w:rPr>
          <w:rFonts w:eastAsia="仿宋_GB2312"/>
          <w:b/>
        </w:rPr>
        <w:t xml:space="preserve">Ying </w:t>
      </w:r>
      <w:proofErr w:type="spellStart"/>
      <w:r w:rsidRPr="00FF65DB">
        <w:rPr>
          <w:rFonts w:eastAsia="仿宋_GB2312"/>
          <w:b/>
        </w:rPr>
        <w:t>Zhou</w:t>
      </w:r>
      <w:bookmarkEnd w:id="11"/>
      <w:r w:rsidRPr="00FF65DB">
        <w:rPr>
          <w:rFonts w:eastAsia="仿宋_GB2312"/>
          <w:b/>
          <w:vertAlign w:val="superscript"/>
        </w:rPr>
        <w:t>a</w:t>
      </w:r>
      <w:proofErr w:type="spellEnd"/>
      <w:r w:rsidRPr="00FF65DB">
        <w:rPr>
          <w:rFonts w:eastAsia="仿宋_GB2312"/>
          <w:b/>
        </w:rPr>
        <w:t xml:space="preserve">, </w:t>
      </w:r>
      <w:bookmarkStart w:id="12" w:name="OLE_LINK91"/>
      <w:r w:rsidRPr="00FF65DB">
        <w:rPr>
          <w:rFonts w:eastAsia="仿宋_GB2312"/>
          <w:b/>
        </w:rPr>
        <w:t>Chao Yang</w:t>
      </w:r>
      <w:bookmarkEnd w:id="12"/>
      <w:r w:rsidRPr="00FF65DB">
        <w:rPr>
          <w:rFonts w:eastAsia="仿宋_GB2312"/>
          <w:b/>
          <w:vertAlign w:val="superscript"/>
        </w:rPr>
        <w:t>a</w:t>
      </w:r>
      <w:r w:rsidRPr="00FF65DB">
        <w:rPr>
          <w:rFonts w:eastAsia="仿宋_GB2312"/>
          <w:b/>
        </w:rPr>
        <w:t xml:space="preserve">, </w:t>
      </w:r>
      <w:bookmarkStart w:id="13" w:name="OLE_LINK90"/>
      <w:proofErr w:type="spellStart"/>
      <w:r w:rsidRPr="00FF65DB">
        <w:rPr>
          <w:rFonts w:eastAsia="仿宋_GB2312"/>
          <w:b/>
        </w:rPr>
        <w:t>Kaimin</w:t>
      </w:r>
      <w:proofErr w:type="spellEnd"/>
      <w:r w:rsidRPr="00FF65DB">
        <w:rPr>
          <w:rFonts w:eastAsia="仿宋_GB2312"/>
          <w:b/>
        </w:rPr>
        <w:t xml:space="preserve"> </w:t>
      </w:r>
      <w:proofErr w:type="spellStart"/>
      <w:r w:rsidRPr="00FF65DB">
        <w:rPr>
          <w:rFonts w:eastAsia="仿宋_GB2312"/>
          <w:b/>
        </w:rPr>
        <w:t>Shih</w:t>
      </w:r>
      <w:bookmarkEnd w:id="13"/>
      <w:r w:rsidRPr="00FF65DB">
        <w:rPr>
          <w:rFonts w:eastAsia="仿宋_GB2312"/>
          <w:b/>
          <w:vertAlign w:val="superscript"/>
        </w:rPr>
        <w:t>a</w:t>
      </w:r>
      <w:proofErr w:type="spellEnd"/>
      <w:r w:rsidRPr="00FF65DB">
        <w:rPr>
          <w:rFonts w:eastAsia="仿宋_GB2312"/>
          <w:b/>
        </w:rPr>
        <w:t xml:space="preserve">, and Xiao-yan Li </w:t>
      </w:r>
      <w:r w:rsidRPr="00FF65DB">
        <w:rPr>
          <w:rFonts w:eastAsia="仿宋_GB2312"/>
          <w:b/>
          <w:vertAlign w:val="superscript"/>
        </w:rPr>
        <w:t xml:space="preserve">a, </w:t>
      </w:r>
      <w:r w:rsidR="00623B10" w:rsidRPr="00FF65DB">
        <w:rPr>
          <w:rFonts w:eastAsia="仿宋_GB2312"/>
          <w:b/>
          <w:vertAlign w:val="superscript"/>
        </w:rPr>
        <w:t>b</w:t>
      </w:r>
      <w:r w:rsidRPr="00FF65DB">
        <w:rPr>
          <w:rFonts w:eastAsia="仿宋_GB2312"/>
          <w:b/>
          <w:vertAlign w:val="superscript"/>
        </w:rPr>
        <w:t>*</w:t>
      </w:r>
    </w:p>
    <w:p w14:paraId="186327EC" w14:textId="77777777" w:rsidR="000D7881" w:rsidRPr="00FD783B" w:rsidRDefault="000D7881" w:rsidP="00623B10">
      <w:pPr>
        <w:snapToGrid w:val="0"/>
        <w:spacing w:line="480" w:lineRule="auto"/>
        <w:jc w:val="center"/>
        <w:rPr>
          <w:iCs/>
          <w:sz w:val="23"/>
          <w:szCs w:val="23"/>
        </w:rPr>
      </w:pPr>
      <w:bookmarkStart w:id="14" w:name="_Hlk124344293"/>
      <w:bookmarkEnd w:id="8"/>
      <w:r w:rsidRPr="00FD783B">
        <w:rPr>
          <w:iCs/>
          <w:sz w:val="23"/>
          <w:szCs w:val="23"/>
          <w:vertAlign w:val="superscript"/>
        </w:rPr>
        <w:t>a</w:t>
      </w:r>
      <w:r w:rsidRPr="00FD783B">
        <w:rPr>
          <w:iCs/>
          <w:sz w:val="23"/>
          <w:szCs w:val="23"/>
        </w:rPr>
        <w:t xml:space="preserve"> Department of Civil Engineering, The University of Hong Kong, Pokfulam, Hong Kong, China</w:t>
      </w:r>
    </w:p>
    <w:p w14:paraId="2E48A4ED" w14:textId="74345C16" w:rsidR="00623B10" w:rsidRPr="00FD783B" w:rsidRDefault="00623B10" w:rsidP="00623B10">
      <w:pPr>
        <w:snapToGrid w:val="0"/>
        <w:spacing w:line="480" w:lineRule="auto"/>
        <w:jc w:val="center"/>
        <w:rPr>
          <w:sz w:val="23"/>
          <w:szCs w:val="23"/>
        </w:rPr>
      </w:pPr>
      <w:r w:rsidRPr="00FD783B">
        <w:rPr>
          <w:iCs/>
          <w:sz w:val="23"/>
          <w:szCs w:val="23"/>
          <w:vertAlign w:val="superscript"/>
        </w:rPr>
        <w:t>b</w:t>
      </w:r>
      <w:r w:rsidRPr="00FD783B">
        <w:rPr>
          <w:iCs/>
          <w:sz w:val="23"/>
          <w:szCs w:val="23"/>
        </w:rPr>
        <w:t xml:space="preserve"> </w:t>
      </w:r>
      <w:r w:rsidRPr="00FD783B">
        <w:rPr>
          <w:sz w:val="23"/>
          <w:szCs w:val="23"/>
        </w:rPr>
        <w:t xml:space="preserve">Institute of Environment and Ecology, </w:t>
      </w:r>
      <w:bookmarkStart w:id="15" w:name="OLE_LINK87"/>
      <w:r w:rsidRPr="00FD783B">
        <w:rPr>
          <w:sz w:val="23"/>
          <w:szCs w:val="23"/>
        </w:rPr>
        <w:t>Tsinghua Shenzhen International Graduate School</w:t>
      </w:r>
      <w:bookmarkEnd w:id="15"/>
      <w:r w:rsidRPr="00FD783B">
        <w:rPr>
          <w:sz w:val="23"/>
          <w:szCs w:val="23"/>
        </w:rPr>
        <w:t>, Tsinghua University, Shenzhen 518055, China</w:t>
      </w:r>
    </w:p>
    <w:p w14:paraId="2EFF394A" w14:textId="48CE0BC1" w:rsidR="000D7881" w:rsidRPr="00FD783B" w:rsidRDefault="00623B10" w:rsidP="00623B10">
      <w:pPr>
        <w:snapToGrid w:val="0"/>
        <w:spacing w:line="480" w:lineRule="auto"/>
        <w:jc w:val="center"/>
        <w:rPr>
          <w:sz w:val="23"/>
          <w:szCs w:val="23"/>
        </w:rPr>
      </w:pPr>
      <w:r w:rsidRPr="00FD783B">
        <w:rPr>
          <w:iCs/>
          <w:sz w:val="23"/>
          <w:szCs w:val="23"/>
          <w:vertAlign w:val="superscript"/>
        </w:rPr>
        <w:t>c</w:t>
      </w:r>
      <w:r w:rsidR="000D7881" w:rsidRPr="00FD783B">
        <w:rPr>
          <w:iCs/>
          <w:sz w:val="23"/>
          <w:szCs w:val="23"/>
        </w:rPr>
        <w:t xml:space="preserve"> </w:t>
      </w:r>
      <w:r w:rsidR="000D7881" w:rsidRPr="00FD783B">
        <w:rPr>
          <w:rStyle w:val="accordion-tabbedtab-mobile"/>
          <w:sz w:val="23"/>
          <w:szCs w:val="23"/>
        </w:rPr>
        <w:t>Department of Materials, ETH Zürich, Vladimir-Prelog-</w:t>
      </w:r>
      <w:proofErr w:type="spellStart"/>
      <w:r w:rsidR="000D7881" w:rsidRPr="00FD783B">
        <w:rPr>
          <w:rStyle w:val="accordion-tabbedtab-mobile"/>
          <w:sz w:val="23"/>
          <w:szCs w:val="23"/>
        </w:rPr>
        <w:t>Weg</w:t>
      </w:r>
      <w:proofErr w:type="spellEnd"/>
      <w:r w:rsidR="000D7881" w:rsidRPr="00FD783B">
        <w:rPr>
          <w:rStyle w:val="accordion-tabbedtab-mobile"/>
          <w:sz w:val="23"/>
          <w:szCs w:val="23"/>
        </w:rPr>
        <w:t xml:space="preserve"> 5, Zurich 8093, Switzerland</w:t>
      </w:r>
    </w:p>
    <w:p w14:paraId="593E8F89" w14:textId="77777777" w:rsidR="000D7881" w:rsidRPr="00FD783B" w:rsidRDefault="000D7881" w:rsidP="00623B10">
      <w:pPr>
        <w:snapToGrid w:val="0"/>
        <w:spacing w:line="480" w:lineRule="auto"/>
        <w:ind w:firstLine="475"/>
        <w:jc w:val="center"/>
      </w:pPr>
    </w:p>
    <w:p w14:paraId="501560BF" w14:textId="77777777" w:rsidR="000D7881" w:rsidRPr="00FD783B" w:rsidRDefault="000D7881" w:rsidP="006B5E03">
      <w:pPr>
        <w:snapToGrid w:val="0"/>
        <w:spacing w:line="480" w:lineRule="auto"/>
        <w:jc w:val="center"/>
      </w:pPr>
      <w:r w:rsidRPr="00FD783B">
        <w:t>(*Corresponding author: phone: 852-28592659; fax: 852-28595337; e-mail: xlia@hku.hk)</w:t>
      </w:r>
    </w:p>
    <w:bookmarkEnd w:id="5"/>
    <w:bookmarkEnd w:id="6"/>
    <w:bookmarkEnd w:id="9"/>
    <w:bookmarkEnd w:id="14"/>
    <w:p w14:paraId="5F2D6164" w14:textId="77777777" w:rsidR="000D7881" w:rsidRPr="00FD783B" w:rsidRDefault="000D7881" w:rsidP="00623B10">
      <w:pPr>
        <w:sectPr w:rsidR="000D7881" w:rsidRPr="00FD783B" w:rsidSect="00623B10">
          <w:footerReference w:type="default" r:id="rId11"/>
          <w:pgSz w:w="11906" w:h="16838" w:code="9"/>
          <w:pgMar w:top="1440" w:right="1440" w:bottom="1440" w:left="1440" w:header="708" w:footer="708" w:gutter="0"/>
          <w:lnNumType w:countBy="1" w:restart="continuous"/>
          <w:cols w:space="708"/>
          <w:docGrid w:linePitch="360"/>
        </w:sectPr>
      </w:pPr>
    </w:p>
    <w:p w14:paraId="6AFE29A5" w14:textId="77777777" w:rsidR="000D7881" w:rsidRPr="00FD783B" w:rsidRDefault="000D7881" w:rsidP="00623B10">
      <w:pPr>
        <w:pStyle w:val="1"/>
        <w:snapToGrid w:val="0"/>
      </w:pPr>
      <w:r w:rsidRPr="00FD783B">
        <w:lastRenderedPageBreak/>
        <w:t>Abstract</w:t>
      </w:r>
    </w:p>
    <w:p w14:paraId="3390837F" w14:textId="6D20A3C5" w:rsidR="000D7881" w:rsidRPr="00FD783B" w:rsidRDefault="00A13654" w:rsidP="00856D1A">
      <w:pPr>
        <w:snapToGrid w:val="0"/>
        <w:spacing w:line="480" w:lineRule="auto"/>
        <w:ind w:firstLineChars="200" w:firstLine="480"/>
      </w:pPr>
      <w:bookmarkStart w:id="16" w:name="OLE_LINK174"/>
      <w:bookmarkStart w:id="17" w:name="OLE_LINK181"/>
      <w:bookmarkStart w:id="18" w:name="OLE_LINK75"/>
      <w:r w:rsidRPr="00FD783B">
        <w:t xml:space="preserve">The </w:t>
      </w:r>
      <w:bookmarkStart w:id="19" w:name="OLE_LINK73"/>
      <w:r w:rsidRPr="00FD783B">
        <w:t>d</w:t>
      </w:r>
      <w:r w:rsidR="000D7881" w:rsidRPr="00FD783B">
        <w:t xml:space="preserve">isposal of </w:t>
      </w:r>
      <w:r w:rsidR="00D22AC0" w:rsidRPr="00FD783B">
        <w:t xml:space="preserve">wastewater </w:t>
      </w:r>
      <w:r w:rsidR="000D7881" w:rsidRPr="00FD783B">
        <w:t>sludge is one of the most challenging environmental problems for large cities. Waste</w:t>
      </w:r>
      <w:r w:rsidR="00D22AC0" w:rsidRPr="00FD783B">
        <w:t>water</w:t>
      </w:r>
      <w:r w:rsidR="000D7881" w:rsidRPr="00FD783B">
        <w:t xml:space="preserve"> sludge may be </w:t>
      </w:r>
      <w:r w:rsidR="009C59F1" w:rsidRPr="00FD783B">
        <w:t>u</w:t>
      </w:r>
      <w:r w:rsidR="00052266" w:rsidRPr="00FD783B">
        <w:t xml:space="preserve">tilized </w:t>
      </w:r>
      <w:r w:rsidR="000D7881" w:rsidRPr="00FD783B">
        <w:t xml:space="preserve">as </w:t>
      </w:r>
      <w:bookmarkStart w:id="20" w:name="_Hlk125547664"/>
      <w:r w:rsidR="000D7881" w:rsidRPr="00FD783B">
        <w:t xml:space="preserve">a feasible substitute </w:t>
      </w:r>
      <w:r w:rsidRPr="00FD783B">
        <w:t xml:space="preserve">for </w:t>
      </w:r>
      <w:r w:rsidR="000D7881" w:rsidRPr="00FD783B">
        <w:t xml:space="preserve">clay </w:t>
      </w:r>
      <w:bookmarkEnd w:id="20"/>
      <w:r w:rsidRPr="00FD783B">
        <w:t xml:space="preserve">to </w:t>
      </w:r>
      <w:r w:rsidR="000D7881" w:rsidRPr="00FD783B">
        <w:t>sinter ceramic</w:t>
      </w:r>
      <w:r w:rsidR="00052266" w:rsidRPr="00FD783B">
        <w:t>s</w:t>
      </w:r>
      <w:r w:rsidR="00FF65DB">
        <w:t>, given</w:t>
      </w:r>
      <w:r w:rsidR="00FF65DB" w:rsidRPr="00FF65DB">
        <w:t xml:space="preserve"> their similar mineralogical composition</w:t>
      </w:r>
      <w:r w:rsidR="000D7881" w:rsidRPr="00FD783B">
        <w:t>. However, the organic</w:t>
      </w:r>
      <w:r w:rsidR="00873791">
        <w:t>s</w:t>
      </w:r>
      <w:r w:rsidR="000D7881" w:rsidRPr="00FD783B">
        <w:t xml:space="preserve"> in sludge </w:t>
      </w:r>
      <w:r w:rsidR="00FF65DB">
        <w:t>will</w:t>
      </w:r>
      <w:r w:rsidR="000D7881" w:rsidRPr="00FD783B">
        <w:t xml:space="preserve"> be wasted, while the</w:t>
      </w:r>
      <w:r w:rsidR="00873791">
        <w:t>ir</w:t>
      </w:r>
      <w:r w:rsidR="000D7881" w:rsidRPr="00FD783B">
        <w:t xml:space="preserve"> release during sintering </w:t>
      </w:r>
      <w:r w:rsidR="00FF65DB">
        <w:t xml:space="preserve">will </w:t>
      </w:r>
      <w:r w:rsidR="000D7881" w:rsidRPr="00FD783B">
        <w:t xml:space="preserve">leave cracks in the ceramic products. In this research, after </w:t>
      </w:r>
      <w:r w:rsidR="00FF65DB">
        <w:t xml:space="preserve">the </w:t>
      </w:r>
      <w:r w:rsidR="000D7881" w:rsidRPr="00FD783B">
        <w:t>thermal treatment</w:t>
      </w:r>
      <w:r w:rsidR="00873791">
        <w:t xml:space="preserve"> </w:t>
      </w:r>
      <w:r w:rsidR="00FF65DB">
        <w:t xml:space="preserve">for </w:t>
      </w:r>
      <w:r w:rsidR="00873791">
        <w:t xml:space="preserve">effective </w:t>
      </w:r>
      <w:r w:rsidR="00873791" w:rsidRPr="00FD783B">
        <w:t>organic</w:t>
      </w:r>
      <w:r w:rsidR="00873791">
        <w:t xml:space="preserve"> recovery</w:t>
      </w:r>
      <w:r w:rsidR="000D7881" w:rsidRPr="00FD783B">
        <w:t>, the thermal</w:t>
      </w:r>
      <w:r w:rsidR="00052266" w:rsidRPr="00FD783B">
        <w:t>ly</w:t>
      </w:r>
      <w:r w:rsidR="000D7881" w:rsidRPr="00FD783B">
        <w:t xml:space="preserve"> hydrolyzed sludge (THS) </w:t>
      </w:r>
      <w:r w:rsidR="00856D1A">
        <w:t>is</w:t>
      </w:r>
      <w:r w:rsidR="000D7881" w:rsidRPr="00FD783B">
        <w:t xml:space="preserve"> incorporated with clay for the </w:t>
      </w:r>
      <w:r w:rsidR="00873791">
        <w:t>sintering</w:t>
      </w:r>
      <w:r w:rsidR="000D7881" w:rsidRPr="00FD783B">
        <w:t xml:space="preserve"> of </w:t>
      </w:r>
      <w:r w:rsidR="0031415A">
        <w:t xml:space="preserve">construction </w:t>
      </w:r>
      <w:r w:rsidR="000D7881" w:rsidRPr="00FD783B">
        <w:t>ceramic</w:t>
      </w:r>
      <w:r w:rsidR="0031415A">
        <w:t>s</w:t>
      </w:r>
      <w:r w:rsidR="000D7881" w:rsidRPr="00FD783B">
        <w:t>. The experimental results showed that a THS dosing ratio</w:t>
      </w:r>
      <w:r w:rsidR="00856D1A">
        <w:t xml:space="preserve"> up to</w:t>
      </w:r>
      <w:r w:rsidR="000D7881" w:rsidRPr="00FD783B">
        <w:t xml:space="preserve"> 40% can be achieved for mixing with montmorillonite clay to make ceramic tiles. The sintered tiles (THS‒40) had an intact shape and structure, and the </w:t>
      </w:r>
      <w:bookmarkStart w:id="21" w:name="OLE_LINK72"/>
      <w:r w:rsidR="00052266" w:rsidRPr="00FD783B">
        <w:t xml:space="preserve">tile </w:t>
      </w:r>
      <w:r w:rsidR="000D7881" w:rsidRPr="00FD783B">
        <w:t>performance</w:t>
      </w:r>
      <w:bookmarkEnd w:id="21"/>
      <w:r w:rsidR="000D7881" w:rsidRPr="00FD783B">
        <w:t xml:space="preserve"> was close to that made from single montmorillonite (THS‒0), with water absorption of 0.4</w:t>
      </w:r>
      <w:r w:rsidR="00FF65DB">
        <w:t>%</w:t>
      </w:r>
      <w:r w:rsidR="000D7881" w:rsidRPr="00FD783B">
        <w:t xml:space="preserve"> vs. 0.2%, compressive strength of 136.8 vs. 140.7 MPa, and undetected heavy metal</w:t>
      </w:r>
      <w:r w:rsidR="00FF65DB">
        <w:t xml:space="preserve"> leaching</w:t>
      </w:r>
      <w:r w:rsidR="000D7881" w:rsidRPr="00FD783B">
        <w:t xml:space="preserve">. </w:t>
      </w:r>
      <w:r w:rsidRPr="00FD783B">
        <w:t>F</w:t>
      </w:r>
      <w:r w:rsidR="000D7881" w:rsidRPr="00FD783B">
        <w:t xml:space="preserve">urther addition of THS would lead to </w:t>
      </w:r>
      <w:r w:rsidR="00052266" w:rsidRPr="00FD783B">
        <w:t xml:space="preserve">a </w:t>
      </w:r>
      <w:r w:rsidR="000D7881" w:rsidRPr="00FD783B">
        <w:t>considerable deterioration of the quality of the tiles</w:t>
      </w:r>
      <w:r w:rsidR="00141CC0">
        <w:t xml:space="preserve"> </w:t>
      </w:r>
      <w:r w:rsidR="004D5AEC">
        <w:t>to a</w:t>
      </w:r>
      <w:r w:rsidR="00A317BD">
        <w:t xml:space="preserve"> </w:t>
      </w:r>
      <w:r w:rsidR="00141CC0" w:rsidRPr="00FD783B">
        <w:t>compressive strength</w:t>
      </w:r>
      <w:r w:rsidR="00141CC0">
        <w:t xml:space="preserve"> </w:t>
      </w:r>
      <w:r w:rsidR="004D5AEC" w:rsidRPr="004D5AEC">
        <w:t>of as low as</w:t>
      </w:r>
      <w:r w:rsidR="00141CC0">
        <w:t xml:space="preserve"> 5.0 MPa</w:t>
      </w:r>
      <w:r w:rsidR="00A317BD">
        <w:t xml:space="preserve"> </w:t>
      </w:r>
      <w:r w:rsidR="00A317BD" w:rsidRPr="00FD783B">
        <w:t>for the THS only product (THS‒100)</w:t>
      </w:r>
      <w:r w:rsidR="000D7881" w:rsidRPr="00FD783B">
        <w:t xml:space="preserve">. </w:t>
      </w:r>
      <w:r w:rsidR="00FF65DB">
        <w:t xml:space="preserve">Comparing </w:t>
      </w:r>
      <w:r w:rsidR="00052266" w:rsidRPr="00FD783B">
        <w:t xml:space="preserve">with the tiles incorporated with raw sludge (RS‒40), </w:t>
      </w:r>
      <w:r w:rsidR="000D7881" w:rsidRPr="00FD783B">
        <w:t xml:space="preserve">the THS‒40 </w:t>
      </w:r>
      <w:r w:rsidR="00052266" w:rsidRPr="00FD783B">
        <w:t xml:space="preserve">tiles </w:t>
      </w:r>
      <w:r w:rsidR="000D7881" w:rsidRPr="00FD783B">
        <w:t xml:space="preserve">had a more intact and denser structure with a 10% improved compressive strength. </w:t>
      </w:r>
      <w:r w:rsidR="00856D1A" w:rsidRPr="00FD783B">
        <w:t xml:space="preserve">Cristobalite, aluminum phosphate, mullite, and hematite </w:t>
      </w:r>
      <w:r w:rsidR="00856D1A">
        <w:t>dominated</w:t>
      </w:r>
      <w:r w:rsidR="00856D1A" w:rsidRPr="00FD783B">
        <w:t xml:space="preserve"> in </w:t>
      </w:r>
      <w:r w:rsidR="00FF65DB">
        <w:t xml:space="preserve">the </w:t>
      </w:r>
      <w:r w:rsidR="00856D1A" w:rsidRPr="00FD783B">
        <w:t>THS-born ceramic</w:t>
      </w:r>
      <w:r w:rsidR="00FF65DB">
        <w:t>s</w:t>
      </w:r>
      <w:r w:rsidR="00856D1A">
        <w:t xml:space="preserve">, </w:t>
      </w:r>
      <w:r w:rsidR="000D7881" w:rsidRPr="00FD783B">
        <w:t xml:space="preserve">which are typical components </w:t>
      </w:r>
      <w:r w:rsidR="00FF65DB">
        <w:t xml:space="preserve">of </w:t>
      </w:r>
      <w:r w:rsidR="000D7881" w:rsidRPr="00FD783B">
        <w:t xml:space="preserve">ceramics, and the </w:t>
      </w:r>
      <w:r w:rsidR="00990144">
        <w:t>amount</w:t>
      </w:r>
      <w:r w:rsidR="000D7881" w:rsidRPr="00FD783B">
        <w:t xml:space="preserve"> of hematite increased with the THS dosing ratio. </w:t>
      </w:r>
      <w:r w:rsidR="00052266" w:rsidRPr="00FD783B">
        <w:t xml:space="preserve">Sintering at a high temperature of 1200 </w:t>
      </w:r>
      <w:proofErr w:type="spellStart"/>
      <w:r w:rsidR="00654BB4" w:rsidRPr="00654BB4">
        <w:rPr>
          <w:vertAlign w:val="superscript"/>
        </w:rPr>
        <w:t>o</w:t>
      </w:r>
      <w:r w:rsidR="00654BB4" w:rsidRPr="00654BB4">
        <w:t>C</w:t>
      </w:r>
      <w:proofErr w:type="spellEnd"/>
      <w:r w:rsidR="00A8090B" w:rsidRPr="00FD783B">
        <w:t xml:space="preserve"> </w:t>
      </w:r>
      <w:r w:rsidR="000D7881" w:rsidRPr="00FD783B">
        <w:t>enabled efficient phase transformation from quartz to cristobalite and from muscovite to mullite</w:t>
      </w:r>
      <w:r w:rsidR="00052266" w:rsidRPr="00FD783B">
        <w:t xml:space="preserve">, which ensured the toughness and compactness of the </w:t>
      </w:r>
      <w:r w:rsidR="007D05AC" w:rsidRPr="00FD783B">
        <w:t xml:space="preserve">THS-born </w:t>
      </w:r>
      <w:r w:rsidR="00052266" w:rsidRPr="00FD783B">
        <w:t xml:space="preserve">ceramic tiles. </w:t>
      </w:r>
      <w:bookmarkEnd w:id="16"/>
      <w:bookmarkEnd w:id="17"/>
    </w:p>
    <w:bookmarkEnd w:id="18"/>
    <w:bookmarkEnd w:id="19"/>
    <w:p w14:paraId="4A116FFC" w14:textId="77777777" w:rsidR="000D7881" w:rsidRPr="00FD783B" w:rsidRDefault="000D7881" w:rsidP="00623B10">
      <w:pPr>
        <w:snapToGrid w:val="0"/>
        <w:spacing w:line="480" w:lineRule="auto"/>
      </w:pPr>
    </w:p>
    <w:p w14:paraId="01B0FDB3" w14:textId="1996F6EB" w:rsidR="009E2635" w:rsidRPr="00FD783B" w:rsidRDefault="000D7881" w:rsidP="00623B10">
      <w:pPr>
        <w:adjustRightInd w:val="0"/>
        <w:snapToGrid w:val="0"/>
        <w:spacing w:line="480" w:lineRule="auto"/>
        <w:sectPr w:rsidR="009E2635" w:rsidRPr="00FD783B" w:rsidSect="00623B10">
          <w:pgSz w:w="11906" w:h="16838" w:code="9"/>
          <w:pgMar w:top="1440" w:right="1440" w:bottom="1440" w:left="1440" w:header="851" w:footer="851" w:gutter="0"/>
          <w:lnNumType w:countBy="1" w:restart="continuous"/>
          <w:cols w:space="425"/>
          <w:docGrid w:type="lines" w:linePitch="326"/>
        </w:sectPr>
      </w:pPr>
      <w:r w:rsidRPr="00FD783B">
        <w:rPr>
          <w:b/>
        </w:rPr>
        <w:t>Keywords:</w:t>
      </w:r>
      <w:r w:rsidRPr="00FD783B">
        <w:t xml:space="preserve"> </w:t>
      </w:r>
      <w:bookmarkStart w:id="22" w:name="OLE_LINK86"/>
      <w:r w:rsidRPr="00FD783B">
        <w:t xml:space="preserve">thermally hydrolyzed sludge; montmorillonite; ceramic; phase transformation; sludge disposal; heavy metals  </w:t>
      </w:r>
      <w:bookmarkEnd w:id="22"/>
    </w:p>
    <w:p w14:paraId="7E017EA3" w14:textId="77777777" w:rsidR="000D7881" w:rsidRPr="00FD783B" w:rsidRDefault="000D7881" w:rsidP="00623B10">
      <w:pPr>
        <w:pStyle w:val="1"/>
        <w:snapToGrid w:val="0"/>
      </w:pPr>
      <w:r w:rsidRPr="00FD783B">
        <w:lastRenderedPageBreak/>
        <w:t>1. Introduction</w:t>
      </w:r>
    </w:p>
    <w:p w14:paraId="1A641F6B" w14:textId="2BD36729" w:rsidR="000D7881" w:rsidRPr="00FD783B" w:rsidRDefault="000D7881" w:rsidP="00623B10">
      <w:pPr>
        <w:snapToGrid w:val="0"/>
        <w:spacing w:line="480" w:lineRule="auto"/>
        <w:ind w:firstLineChars="200" w:firstLine="480"/>
      </w:pPr>
      <w:r w:rsidRPr="00FD783B">
        <w:t>A large amount of sludge is produced during municipal wastewater treatment in metropolis (~1 ton dewatered sludge/1000 m</w:t>
      </w:r>
      <w:r w:rsidRPr="00FD783B">
        <w:rPr>
          <w:vertAlign w:val="superscript"/>
        </w:rPr>
        <w:t>3</w:t>
      </w:r>
      <w:r w:rsidRPr="00FD783B">
        <w:t xml:space="preserve"> sewage). </w:t>
      </w:r>
      <w:bookmarkStart w:id="23" w:name="OLE_LINK20"/>
      <w:r w:rsidRPr="00FD783B">
        <w:t xml:space="preserve">The daily sludge production reaches above </w:t>
      </w:r>
      <w:r w:rsidR="00730F2C" w:rsidRPr="00FD783B">
        <w:t>17.8</w:t>
      </w:r>
      <w:r w:rsidRPr="00FD783B">
        <w:t xml:space="preserve"> thousand tons in Europe countries and around </w:t>
      </w:r>
      <w:r w:rsidR="00730F2C" w:rsidRPr="00FD783B">
        <w:t>63.0</w:t>
      </w:r>
      <w:r w:rsidRPr="00FD783B">
        <w:t xml:space="preserve"> thousand tons in China </w:t>
      </w:r>
      <w:r w:rsidR="00EE7E86" w:rsidRPr="00FD783B">
        <w:rPr>
          <w:noProof/>
        </w:rPr>
        <w:t>(</w:t>
      </w:r>
      <w:bookmarkStart w:id="24" w:name="OLE_LINK40"/>
      <w:r w:rsidR="00EE7E86" w:rsidRPr="00FD783B">
        <w:rPr>
          <w:noProof/>
        </w:rPr>
        <w:t>Guo</w:t>
      </w:r>
      <w:bookmarkEnd w:id="24"/>
      <w:r w:rsidR="00EE7E86" w:rsidRPr="00FD783B">
        <w:rPr>
          <w:noProof/>
        </w:rPr>
        <w:t xml:space="preserve"> et al., 2013; Wei et al., 2020)</w:t>
      </w:r>
      <w:r w:rsidRPr="00FD783B">
        <w:t xml:space="preserve">. </w:t>
      </w:r>
      <w:bookmarkEnd w:id="23"/>
      <w:r w:rsidRPr="00FD783B">
        <w:t xml:space="preserve">Treatment and disposal of </w:t>
      </w:r>
      <w:r w:rsidR="0064616B" w:rsidRPr="00FD783B">
        <w:t xml:space="preserve">wastewater </w:t>
      </w:r>
      <w:r w:rsidRPr="00FD783B">
        <w:t xml:space="preserve">sludge </w:t>
      </w:r>
      <w:bookmarkStart w:id="25" w:name="_Hlk125547069"/>
      <w:r w:rsidRPr="00FD783B">
        <w:t>have been one of the most challenging and expensive environmental problems for large cities</w:t>
      </w:r>
      <w:bookmarkEnd w:id="25"/>
      <w:r w:rsidRPr="00FD783B">
        <w:t xml:space="preserve">. The nuisance and pathogens of the sludge pose a serious threat to the urban environment and public health </w:t>
      </w:r>
      <w:r w:rsidRPr="00FD783B">
        <w:rPr>
          <w:noProof/>
        </w:rPr>
        <w:t>(Ding et al., 2021)</w:t>
      </w:r>
      <w:r w:rsidRPr="00FD783B">
        <w:t xml:space="preserve">. Conventional </w:t>
      </w:r>
      <w:r w:rsidR="00C53EF2" w:rsidRPr="00FD783B">
        <w:t xml:space="preserve">ways </w:t>
      </w:r>
      <w:r w:rsidRPr="00FD783B">
        <w:t>of waste</w:t>
      </w:r>
      <w:r w:rsidR="0064616B" w:rsidRPr="00FD783B">
        <w:t>water</w:t>
      </w:r>
      <w:r w:rsidRPr="00FD783B">
        <w:t xml:space="preserve"> sludge </w:t>
      </w:r>
      <w:r w:rsidR="00C53EF2" w:rsidRPr="00FD783B">
        <w:t xml:space="preserve">disposal </w:t>
      </w:r>
      <w:r w:rsidRPr="00FD783B">
        <w:t xml:space="preserve">include </w:t>
      </w:r>
      <w:bookmarkStart w:id="26" w:name="OLE_LINK1"/>
      <w:r w:rsidRPr="00FD783B">
        <w:t xml:space="preserve">land application, landfills, and incineration </w:t>
      </w:r>
      <w:bookmarkEnd w:id="26"/>
      <w:r w:rsidRPr="00FD783B">
        <w:rPr>
          <w:noProof/>
        </w:rPr>
        <w:t>(Zhang et al., 2017</w:t>
      </w:r>
      <w:r w:rsidR="00CD5BDB" w:rsidRPr="00FD783B">
        <w:rPr>
          <w:noProof/>
        </w:rPr>
        <w:t>b</w:t>
      </w:r>
      <w:r w:rsidRPr="00FD783B">
        <w:rPr>
          <w:noProof/>
        </w:rPr>
        <w:t>)</w:t>
      </w:r>
      <w:r w:rsidRPr="00FD783B">
        <w:t xml:space="preserve">. However, </w:t>
      </w:r>
      <w:bookmarkStart w:id="27" w:name="OLE_LINK21"/>
      <w:r w:rsidRPr="00FD783B">
        <w:t>agricultural application of sludge is prohibited in many countries, including China</w:t>
      </w:r>
      <w:bookmarkEnd w:id="27"/>
      <w:r w:rsidRPr="00FD783B">
        <w:t xml:space="preserve">, owing to soil pollution and food safety concerns </w:t>
      </w:r>
      <w:r w:rsidRPr="00FD783B">
        <w:rPr>
          <w:noProof/>
        </w:rPr>
        <w:t>(</w:t>
      </w:r>
      <w:r w:rsidR="00213743" w:rsidRPr="00213743">
        <w:rPr>
          <w:noProof/>
        </w:rPr>
        <w:t>Tauqeer et al., 2022;</w:t>
      </w:r>
      <w:r w:rsidR="00213743">
        <w:rPr>
          <w:noProof/>
        </w:rPr>
        <w:t xml:space="preserve"> </w:t>
      </w:r>
      <w:r w:rsidRPr="00FD783B">
        <w:rPr>
          <w:noProof/>
        </w:rPr>
        <w:t>Zhang et al., 2016a)</w:t>
      </w:r>
      <w:r w:rsidRPr="00FD783B">
        <w:t xml:space="preserve">. </w:t>
      </w:r>
      <w:bookmarkStart w:id="28" w:name="OLE_LINK118"/>
      <w:bookmarkStart w:id="29" w:name="_Hlk128491274"/>
      <w:bookmarkStart w:id="30" w:name="OLE_LINK117"/>
      <w:r w:rsidRPr="00FD783B">
        <w:t>Landfill</w:t>
      </w:r>
      <w:bookmarkEnd w:id="28"/>
      <w:r w:rsidRPr="00FD783B">
        <w:t>ing often causes long-term land and groundwater contamination</w:t>
      </w:r>
      <w:r w:rsidR="00C53EF2" w:rsidRPr="00FD783B">
        <w:t>s</w:t>
      </w:r>
      <w:r w:rsidRPr="00FD783B">
        <w:t xml:space="preserve">, not to mention the </w:t>
      </w:r>
      <w:r w:rsidR="00C53EF2" w:rsidRPr="00FD783B">
        <w:t xml:space="preserve">lasting </w:t>
      </w:r>
      <w:r w:rsidRPr="00FD783B">
        <w:t xml:space="preserve">landfill leachate generation and discharge </w:t>
      </w:r>
      <w:r w:rsidRPr="00FD783B">
        <w:rPr>
          <w:noProof/>
        </w:rPr>
        <w:t>(</w:t>
      </w:r>
      <w:r w:rsidR="00A32197" w:rsidRPr="00A32197">
        <w:rPr>
          <w:noProof/>
        </w:rPr>
        <w:t xml:space="preserve">Turan et al., 2018; </w:t>
      </w:r>
      <w:r w:rsidRPr="00FD783B">
        <w:rPr>
          <w:noProof/>
        </w:rPr>
        <w:t>Yang et al., 2017)</w:t>
      </w:r>
      <w:r w:rsidRPr="00FD783B">
        <w:t xml:space="preserve">. </w:t>
      </w:r>
      <w:bookmarkEnd w:id="29"/>
      <w:r w:rsidRPr="00FD783B">
        <w:t>Incineration</w:t>
      </w:r>
      <w:bookmarkEnd w:id="30"/>
      <w:r w:rsidRPr="00FD783B">
        <w:t xml:space="preserve"> seems a simple and straightforward method, but it is not only a costly facility </w:t>
      </w:r>
      <w:r w:rsidR="00C53EF2" w:rsidRPr="00FD783B">
        <w:t xml:space="preserve">to build </w:t>
      </w:r>
      <w:r w:rsidRPr="00FD783B">
        <w:t xml:space="preserve">but also considered to be environmentally unfriendly in the urban environment </w:t>
      </w:r>
      <w:r w:rsidRPr="00FD783B">
        <w:rPr>
          <w:noProof/>
        </w:rPr>
        <w:t>(Wei et al., 2020)</w:t>
      </w:r>
      <w:r w:rsidRPr="00FD783B">
        <w:t xml:space="preserve">. </w:t>
      </w:r>
    </w:p>
    <w:p w14:paraId="0E15FB27" w14:textId="666A8178" w:rsidR="000D7881" w:rsidRPr="00FD783B" w:rsidRDefault="000D7881" w:rsidP="00623B10">
      <w:pPr>
        <w:snapToGrid w:val="0"/>
        <w:spacing w:line="480" w:lineRule="auto"/>
        <w:ind w:firstLineChars="200" w:firstLine="480"/>
      </w:pPr>
      <w:r w:rsidRPr="00FD783B">
        <w:t xml:space="preserve">Incorporation and stabilization of </w:t>
      </w:r>
      <w:bookmarkStart w:id="31" w:name="OLE_LINK24"/>
      <w:r w:rsidRPr="00FD783B">
        <w:t>waste</w:t>
      </w:r>
      <w:r w:rsidR="0064616B" w:rsidRPr="00FD783B">
        <w:t>water</w:t>
      </w:r>
      <w:r w:rsidRPr="00FD783B">
        <w:t xml:space="preserve"> sludge into clay to make ceramic tiles as the building and construction materials has attracted </w:t>
      </w:r>
      <w:r w:rsidR="0060072B" w:rsidRPr="00FD783B">
        <w:t>great</w:t>
      </w:r>
      <w:r w:rsidRPr="00FD783B">
        <w:t xml:space="preserve"> interest in recent years for sludge disposal</w:t>
      </w:r>
      <w:bookmarkEnd w:id="31"/>
      <w:r w:rsidRPr="00FD783B">
        <w:t xml:space="preserve"> </w:t>
      </w:r>
      <w:r w:rsidRPr="00FD783B">
        <w:rPr>
          <w:noProof/>
        </w:rPr>
        <w:t>(Chang et al., 2020)</w:t>
      </w:r>
      <w:r w:rsidRPr="00FD783B">
        <w:t xml:space="preserve">. </w:t>
      </w:r>
      <w:r w:rsidR="000205F1" w:rsidRPr="00FD783B">
        <w:t xml:space="preserve">Wastewater </w:t>
      </w:r>
      <w:r w:rsidRPr="00FD783B">
        <w:t xml:space="preserve">sludge and clay are found to be of a high similarity in </w:t>
      </w:r>
      <w:bookmarkStart w:id="32" w:name="OLE_LINK26"/>
      <w:r w:rsidRPr="00FD783B">
        <w:t>terms of the mineralogical composition</w:t>
      </w:r>
      <w:bookmarkEnd w:id="32"/>
      <w:r w:rsidRPr="00FD783B">
        <w:t xml:space="preserve"> </w:t>
      </w:r>
      <w:r w:rsidR="0060072B" w:rsidRPr="00FD783B">
        <w:t xml:space="preserve">that </w:t>
      </w:r>
      <w:r w:rsidRPr="00FD783B">
        <w:t xml:space="preserve">primarily contains oxides of silicon, aluminum, calcium, iron, and magnesium </w:t>
      </w:r>
      <w:r w:rsidRPr="00FD783B">
        <w:rPr>
          <w:noProof/>
        </w:rPr>
        <w:t>(Benlalla et al., 2015; Gomes et al., 2019)</w:t>
      </w:r>
      <w:r w:rsidRPr="00FD783B">
        <w:t xml:space="preserve">. </w:t>
      </w:r>
      <w:bookmarkStart w:id="33" w:name="OLE_LINK25"/>
      <w:r w:rsidRPr="00FD783B">
        <w:t xml:space="preserve">Many countries are already protecting loam clay </w:t>
      </w:r>
      <w:bookmarkEnd w:id="33"/>
      <w:r w:rsidRPr="00FD783B">
        <w:t xml:space="preserve">and </w:t>
      </w:r>
      <w:bookmarkStart w:id="34" w:name="OLE_LINK31"/>
      <w:r w:rsidRPr="00FD783B">
        <w:t xml:space="preserve">restricting its usage, given its high </w:t>
      </w:r>
      <w:bookmarkStart w:id="35" w:name="OLE_LINK27"/>
      <w:r w:rsidRPr="00FD783B">
        <w:t>soil fertility</w:t>
      </w:r>
      <w:bookmarkEnd w:id="35"/>
      <w:r w:rsidRPr="00FD783B">
        <w:t xml:space="preserve"> and long-term beneficial effect on farming</w:t>
      </w:r>
      <w:bookmarkEnd w:id="34"/>
      <w:r w:rsidRPr="00FD783B">
        <w:t xml:space="preserve"> </w:t>
      </w:r>
      <w:r w:rsidRPr="00FD783B">
        <w:rPr>
          <w:noProof/>
        </w:rPr>
        <w:t>(Monteiro and Vieira, 2014)</w:t>
      </w:r>
      <w:r w:rsidRPr="00FD783B">
        <w:t xml:space="preserve">. During the sintering process, foul organics in sludge are fully oxidized and vaporized, while heavy metals and inorganic residues are fixed in the crystal lattice of ceramics </w:t>
      </w:r>
      <w:r w:rsidRPr="00FD783B">
        <w:rPr>
          <w:noProof/>
        </w:rPr>
        <w:t>(Vashistha et al., 2019)</w:t>
      </w:r>
      <w:r w:rsidRPr="00FD783B">
        <w:t xml:space="preserve">. On the other hand, the release of organics </w:t>
      </w:r>
      <w:r w:rsidR="0060072B" w:rsidRPr="00FD783B">
        <w:t xml:space="preserve">would </w:t>
      </w:r>
      <w:r w:rsidRPr="00FD783B">
        <w:t>leave pores and cracks in the ceramic products</w:t>
      </w:r>
      <w:r w:rsidR="0060072B" w:rsidRPr="00FD783B">
        <w:t xml:space="preserve">, </w:t>
      </w:r>
      <w:r w:rsidRPr="00FD783B">
        <w:t>weaken</w:t>
      </w:r>
      <w:r w:rsidR="0060072B" w:rsidRPr="00FD783B">
        <w:t>ing</w:t>
      </w:r>
      <w:r w:rsidRPr="00FD783B">
        <w:t xml:space="preserve"> the ceramic </w:t>
      </w:r>
      <w:r w:rsidRPr="00FD783B">
        <w:lastRenderedPageBreak/>
        <w:t>structure</w:t>
      </w:r>
      <w:r w:rsidR="0060072B" w:rsidRPr="00FD783B">
        <w:t xml:space="preserve">; hence, </w:t>
      </w:r>
      <w:r w:rsidRPr="00FD783B">
        <w:t xml:space="preserve">the ratio of sludge </w:t>
      </w:r>
      <w:r w:rsidR="0060072B" w:rsidRPr="00FD783B">
        <w:t xml:space="preserve">addition </w:t>
      </w:r>
      <w:r w:rsidRPr="00FD783B">
        <w:t xml:space="preserve">in the clay-based precursors </w:t>
      </w:r>
      <w:r w:rsidR="0060072B" w:rsidRPr="00FD783B">
        <w:t xml:space="preserve">is limited </w:t>
      </w:r>
      <w:r w:rsidRPr="00FD783B">
        <w:rPr>
          <w:noProof/>
        </w:rPr>
        <w:t>(Zhang et al., 2016b)</w:t>
      </w:r>
      <w:r w:rsidRPr="00FD783B">
        <w:t xml:space="preserve">. A sludge dosing ratio </w:t>
      </w:r>
      <w:r w:rsidR="0060072B" w:rsidRPr="00FD783B">
        <w:t>ranging</w:t>
      </w:r>
      <w:r w:rsidRPr="00FD783B">
        <w:t xml:space="preserve"> 5‒30% </w:t>
      </w:r>
      <w:r w:rsidR="0060072B" w:rsidRPr="00FD783B">
        <w:t xml:space="preserve">in the precursor mixture </w:t>
      </w:r>
      <w:r w:rsidRPr="00FD783B">
        <w:t xml:space="preserve">has been reported for fabricating ceramics without significantly deteriorating the </w:t>
      </w:r>
      <w:bookmarkStart w:id="36" w:name="OLE_LINK2"/>
      <w:r w:rsidRPr="00FD783B">
        <w:t xml:space="preserve">product quality </w:t>
      </w:r>
      <w:bookmarkEnd w:id="36"/>
      <w:r w:rsidRPr="00FD783B">
        <w:rPr>
          <w:noProof/>
        </w:rPr>
        <w:t>(Chang et al., 2020; Gomes et al., 2019)</w:t>
      </w:r>
      <w:r w:rsidRPr="00FD783B">
        <w:t xml:space="preserve">. The sintering temperature varies from 800 to 1300 </w:t>
      </w:r>
      <w:proofErr w:type="spellStart"/>
      <w:r w:rsidR="00654BB4" w:rsidRPr="00654BB4">
        <w:rPr>
          <w:vertAlign w:val="superscript"/>
        </w:rPr>
        <w:t>o</w:t>
      </w:r>
      <w:r w:rsidR="00654BB4" w:rsidRPr="00654BB4">
        <w:t>C</w:t>
      </w:r>
      <w:proofErr w:type="spellEnd"/>
      <w:r w:rsidRPr="00FD783B">
        <w:t xml:space="preserve"> for various construction purposes with the different densification degrees and mechanical strengths </w:t>
      </w:r>
      <w:r w:rsidRPr="00FD783B">
        <w:rPr>
          <w:noProof/>
        </w:rPr>
        <w:t>(Chang et al., 2020; Luo et al., 2021; Vashistha et al., 2019)</w:t>
      </w:r>
      <w:r w:rsidRPr="00FD783B">
        <w:t xml:space="preserve">. </w:t>
      </w:r>
    </w:p>
    <w:p w14:paraId="7C50D23E" w14:textId="2B9161BE" w:rsidR="000D7881" w:rsidRPr="00FD783B" w:rsidRDefault="000D7881" w:rsidP="00623B10">
      <w:pPr>
        <w:snapToGrid w:val="0"/>
        <w:spacing w:line="480" w:lineRule="auto"/>
        <w:ind w:firstLineChars="200" w:firstLine="480"/>
      </w:pPr>
      <w:r w:rsidRPr="00FD783B">
        <w:t xml:space="preserve">While sludge can be sintered with clay into the ceramic products, the high organic content </w:t>
      </w:r>
      <w:r w:rsidR="0060072B" w:rsidRPr="00FD783B">
        <w:t>of the</w:t>
      </w:r>
      <w:r w:rsidRPr="00FD783B">
        <w:t xml:space="preserve"> sludge is totally wasted </w:t>
      </w:r>
      <w:r w:rsidRPr="00FD783B">
        <w:rPr>
          <w:noProof/>
        </w:rPr>
        <w:t>(Gomes et al., 2019; Lynn et al., 2018)</w:t>
      </w:r>
      <w:r w:rsidRPr="00FD783B">
        <w:t xml:space="preserve">. In the age of sustainable development, the organics and nutrients in sludge </w:t>
      </w:r>
      <w:r w:rsidR="0060072B" w:rsidRPr="00FD783B">
        <w:t>are</w:t>
      </w:r>
      <w:r w:rsidRPr="00FD783B">
        <w:t xml:space="preserve"> considered as valuable resources for valorization before the final sludge disposal. In fact, thermal hydrolysis (TH) has been increasingly adopted in recent years as an effective means of sludge treatment to extract organics and nutrients for energy and resource recovery </w:t>
      </w:r>
      <w:r w:rsidR="00A33657" w:rsidRPr="00FD783B">
        <w:t>(Barber, 2016; Taboada-Santos et al., 2019)</w:t>
      </w:r>
      <w:r w:rsidRPr="00FD783B">
        <w:t xml:space="preserve">. Hundreds of </w:t>
      </w:r>
      <w:bookmarkStart w:id="37" w:name="OLE_LINK58"/>
      <w:r w:rsidRPr="00FD783B">
        <w:t xml:space="preserve">TH facilities for sludge treatment </w:t>
      </w:r>
      <w:bookmarkEnd w:id="37"/>
      <w:r w:rsidRPr="00FD783B">
        <w:t xml:space="preserve">have been installed and operated worldwide, mostly in European countries, United States, Japan, and China </w:t>
      </w:r>
      <w:r w:rsidRPr="00FD783B">
        <w:rPr>
          <w:noProof/>
        </w:rPr>
        <w:t>(Kor-Bicakci and Eskicioglu, 2019)</w:t>
      </w:r>
      <w:r w:rsidRPr="00FD783B">
        <w:t xml:space="preserve">. By the TH treatment at no more than 180 </w:t>
      </w:r>
      <w:proofErr w:type="spellStart"/>
      <w:r w:rsidR="00654BB4" w:rsidRPr="00654BB4">
        <w:rPr>
          <w:vertAlign w:val="superscript"/>
        </w:rPr>
        <w:t>o</w:t>
      </w:r>
      <w:r w:rsidR="00654BB4" w:rsidRPr="00654BB4">
        <w:t>C</w:t>
      </w:r>
      <w:proofErr w:type="spellEnd"/>
      <w:r w:rsidRPr="00FD783B">
        <w:t xml:space="preserve"> for up to 1 h, more than 50% organics in sludge can be hydrolyzed and dissolved into the liquid phase, increasing the sludge biodegradability and benefiting the subsequent </w:t>
      </w:r>
      <w:r w:rsidR="0060072B" w:rsidRPr="00FD783B">
        <w:t>fermentation</w:t>
      </w:r>
      <w:r w:rsidRPr="00FD783B">
        <w:t xml:space="preserve"> and digestion processes </w:t>
      </w:r>
      <w:r w:rsidRPr="00FD783B">
        <w:rPr>
          <w:noProof/>
        </w:rPr>
        <w:t>(Barber, 2016)</w:t>
      </w:r>
      <w:r w:rsidRPr="00FD783B">
        <w:t xml:space="preserve">. The thermally hydrolyzed sludge (THS) also bears greatly improved dewaterability compared to the raw sludge (RS) </w:t>
      </w:r>
      <w:r w:rsidRPr="00FD783B">
        <w:rPr>
          <w:noProof/>
        </w:rPr>
        <w:t>(Wang et al., 2020)</w:t>
      </w:r>
      <w:r w:rsidRPr="00FD783B">
        <w:t xml:space="preserve">. TH treatment followed by separate processing of the liquor and solids can reduce the sludge treatment time and promote the utilization of valuable organic and nutrient resources </w:t>
      </w:r>
      <w:r w:rsidRPr="00FD783B">
        <w:rPr>
          <w:noProof/>
        </w:rPr>
        <w:t>(Lu et al., 2020; Wen and Li, 2022)</w:t>
      </w:r>
      <w:r w:rsidRPr="00FD783B">
        <w:t xml:space="preserve">. Nevertheless, there is little research on the use and disposal of the THS solid residues. </w:t>
      </w:r>
    </w:p>
    <w:p w14:paraId="439E94E0" w14:textId="105B7C61" w:rsidR="000D7881" w:rsidRPr="00FD783B" w:rsidRDefault="000D7881" w:rsidP="00623B10">
      <w:pPr>
        <w:snapToGrid w:val="0"/>
        <w:spacing w:line="480" w:lineRule="auto"/>
        <w:ind w:firstLineChars="200" w:firstLine="480"/>
      </w:pPr>
      <w:r w:rsidRPr="00FD783B">
        <w:t xml:space="preserve">In light of the similar mineralogical nature of the </w:t>
      </w:r>
      <w:r w:rsidR="003F0204" w:rsidRPr="00FD783B">
        <w:t>wastewater</w:t>
      </w:r>
      <w:r w:rsidRPr="00FD783B">
        <w:t xml:space="preserve"> sludge and clay, the THS solids appears to be a good substitution of clay for fabricating construction ceramic materials. The decreased organic content </w:t>
      </w:r>
      <w:r w:rsidR="007048D5" w:rsidRPr="00FD783B">
        <w:t>w</w:t>
      </w:r>
      <w:r w:rsidRPr="00FD783B">
        <w:t xml:space="preserve">ould make THS a more favorable precursor than RS for </w:t>
      </w:r>
      <w:r w:rsidRPr="00FD783B">
        <w:lastRenderedPageBreak/>
        <w:t>ceramics. In this research, experimental studies were conducted on the incorporation of THS with clay into the ceramic products for the sludge stabilization. Different THS dosing ratios and sintering schemes were tested to produce the ceramic tiles, and the properties of the sintered tile</w:t>
      </w:r>
      <w:r w:rsidR="007048D5" w:rsidRPr="00FD783B">
        <w:t>s</w:t>
      </w:r>
      <w:r w:rsidRPr="00FD783B">
        <w:t xml:space="preserve"> were evaluated, including the macroscopic structure, densification degree, mechanical strength, and heavy metal leaching potentials. The sintering behavior and product performance were compared between the tiles incorporated with THS and RS, while </w:t>
      </w:r>
      <w:bookmarkStart w:id="38" w:name="OLE_LINK10"/>
      <w:r w:rsidRPr="00FD783B">
        <w:t xml:space="preserve">the phase transformation and </w:t>
      </w:r>
      <w:bookmarkStart w:id="39" w:name="_Hlk128044807"/>
      <w:r w:rsidRPr="00FD783B">
        <w:t>crystallization</w:t>
      </w:r>
      <w:bookmarkEnd w:id="39"/>
      <w:r w:rsidRPr="00FD783B">
        <w:t xml:space="preserve"> of minerals</w:t>
      </w:r>
      <w:bookmarkEnd w:id="38"/>
      <w:r w:rsidRPr="00FD783B">
        <w:t xml:space="preserve"> during </w:t>
      </w:r>
      <w:r w:rsidR="0003077F" w:rsidRPr="00FD783B">
        <w:t xml:space="preserve">the </w:t>
      </w:r>
      <w:r w:rsidRPr="00FD783B">
        <w:t xml:space="preserve">sintering </w:t>
      </w:r>
      <w:r w:rsidR="0003077F" w:rsidRPr="00FD783B">
        <w:t xml:space="preserve">process </w:t>
      </w:r>
      <w:r w:rsidRPr="00FD783B">
        <w:t xml:space="preserve">were also elucidated. </w:t>
      </w:r>
    </w:p>
    <w:p w14:paraId="35C2350F" w14:textId="77777777" w:rsidR="000D7881" w:rsidRPr="00FD783B" w:rsidRDefault="000D7881" w:rsidP="00623B10">
      <w:pPr>
        <w:snapToGrid w:val="0"/>
        <w:spacing w:line="480" w:lineRule="auto"/>
        <w:ind w:firstLineChars="200" w:firstLine="480"/>
      </w:pPr>
    </w:p>
    <w:p w14:paraId="767A5890" w14:textId="77777777" w:rsidR="000D7881" w:rsidRPr="00FD783B" w:rsidRDefault="000D7881" w:rsidP="00623B10">
      <w:pPr>
        <w:pStyle w:val="1"/>
        <w:snapToGrid w:val="0"/>
      </w:pPr>
      <w:r w:rsidRPr="00FD783B">
        <w:t>2. Materials and Methods</w:t>
      </w:r>
    </w:p>
    <w:p w14:paraId="4EA47D87" w14:textId="77777777" w:rsidR="000D7881" w:rsidRPr="00FD783B" w:rsidRDefault="000D7881" w:rsidP="00623B10">
      <w:pPr>
        <w:pStyle w:val="2"/>
        <w:snapToGrid w:val="0"/>
      </w:pPr>
      <w:r w:rsidRPr="00FD783B">
        <w:t xml:space="preserve">2.1 Thermally hydrolyzed sludge and </w:t>
      </w:r>
      <w:bookmarkStart w:id="40" w:name="OLE_LINK8"/>
      <w:r w:rsidRPr="00FD783B">
        <w:t>montmorillonite clay</w:t>
      </w:r>
      <w:bookmarkEnd w:id="40"/>
    </w:p>
    <w:p w14:paraId="17708F91" w14:textId="548C1166" w:rsidR="000D7881" w:rsidRPr="00FD783B" w:rsidRDefault="000D7881" w:rsidP="00623B10">
      <w:pPr>
        <w:snapToGrid w:val="0"/>
        <w:spacing w:line="480" w:lineRule="auto"/>
        <w:ind w:firstLineChars="200" w:firstLine="480"/>
      </w:pPr>
      <w:r w:rsidRPr="00FD783B">
        <w:t>Raw waste</w:t>
      </w:r>
      <w:r w:rsidR="00821807" w:rsidRPr="00FD783B">
        <w:t>water</w:t>
      </w:r>
      <w:r w:rsidRPr="00FD783B">
        <w:t xml:space="preserve"> sludge was collected from </w:t>
      </w:r>
      <w:r w:rsidRPr="00FD783B">
        <w:rPr>
          <w:rFonts w:eastAsia="等线"/>
        </w:rPr>
        <w:t>Stanley Sewage Treatment Works, Hong Kong</w:t>
      </w:r>
      <w:r w:rsidRPr="00FD783B">
        <w:t xml:space="preserve">, which is a conventional activated sludge-based secondary </w:t>
      </w:r>
      <w:r w:rsidR="005F441C" w:rsidRPr="00FD783B">
        <w:t xml:space="preserve">domestic </w:t>
      </w:r>
      <w:r w:rsidRPr="00FD783B">
        <w:t xml:space="preserve">wastewater treatment plant. After </w:t>
      </w:r>
      <w:r w:rsidRPr="00FD783B">
        <w:rPr>
          <w:rFonts w:cs="Calibri"/>
        </w:rPr>
        <w:t>sedimentation overnight</w:t>
      </w:r>
      <w:r w:rsidRPr="00FD783B">
        <w:t xml:space="preserve">, </w:t>
      </w:r>
      <w:bookmarkStart w:id="41" w:name="OLE_LINK22"/>
      <w:bookmarkStart w:id="42" w:name="OLE_LINK23"/>
      <w:r w:rsidRPr="00FD783B">
        <w:t xml:space="preserve">the thickened sludge (pH = 6.8 ± 0.2, total solids (TS) = 21,775 ± 480 mg/L, volatile solids (VS) = 18,200 ± 565 mg/L, and total chemical organic demand (TCOD) = 23120 ± 420 mg/L) </w:t>
      </w:r>
      <w:r w:rsidR="0062608B" w:rsidRPr="00FD783B">
        <w:t xml:space="preserve">was treated by </w:t>
      </w:r>
      <w:r w:rsidRPr="00FD783B">
        <w:t xml:space="preserve">thermal hydrolysis in an airtight kettle in a furnace </w:t>
      </w:r>
      <w:r w:rsidRPr="00FD783B">
        <w:rPr>
          <w:rFonts w:cs="Calibri"/>
        </w:rPr>
        <w:t>(FCF-1, Tian Heng Instrument, China) by</w:t>
      </w:r>
      <w:r w:rsidRPr="00FD783B">
        <w:t xml:space="preserve"> heating at 180 °C and </w:t>
      </w:r>
      <w:r w:rsidR="00D65FA4" w:rsidRPr="00FD783B">
        <w:t>0.82</w:t>
      </w:r>
      <w:r w:rsidRPr="00FD783B">
        <w:t xml:space="preserve"> MPa for 60 min</w:t>
      </w:r>
      <w:r w:rsidR="0062608B" w:rsidRPr="00FD783B">
        <w:t xml:space="preserve"> </w:t>
      </w:r>
      <w:r w:rsidR="00B51720" w:rsidRPr="00FD783B">
        <w:t>(Zhang et al., 2017a)</w:t>
      </w:r>
      <w:r w:rsidRPr="00FD783B">
        <w:t>. The sludge after the thermal treatment exhibited its significant improvement in dewaterability and biodegradability</w:t>
      </w:r>
      <w:bookmarkStart w:id="43" w:name="OLE_LINK57"/>
      <w:r w:rsidRPr="00FD783B">
        <w:t xml:space="preserve"> (</w:t>
      </w:r>
      <w:bookmarkStart w:id="44" w:name="OLE_LINK30"/>
      <w:r w:rsidRPr="00FD783B">
        <w:t>Fig. S1</w:t>
      </w:r>
      <w:bookmarkEnd w:id="44"/>
      <w:r w:rsidRPr="00FD783B">
        <w:t>)</w:t>
      </w:r>
      <w:bookmarkEnd w:id="43"/>
      <w:r w:rsidRPr="00FD783B">
        <w:t xml:space="preserve">, as previously reported </w:t>
      </w:r>
      <w:r w:rsidRPr="00FD783B">
        <w:rPr>
          <w:noProof/>
        </w:rPr>
        <w:t>(Barber, 2016; Wang et al., 2020)</w:t>
      </w:r>
      <w:r w:rsidRPr="00FD783B">
        <w:t xml:space="preserve">. The hydrolyzed sludge mixture was then centrifugated for solids-liquid separation at 4000 rpm for 10 min. The supernatant with a high dissolved organic content (COD = 11,800 ± 244 mg/L) was collected for the supposed recovery of organic and nutrient resources via acidogenic fermentation </w:t>
      </w:r>
      <w:r w:rsidRPr="00FD783B">
        <w:rPr>
          <w:noProof/>
        </w:rPr>
        <w:t>(Wen et al., 2022)</w:t>
      </w:r>
      <w:r w:rsidRPr="00FD783B">
        <w:t xml:space="preserve">. The dewatered sludge was obtained as THS after drying to a constant weight at 105 </w:t>
      </w:r>
      <w:proofErr w:type="spellStart"/>
      <w:r w:rsidR="00654BB4" w:rsidRPr="00654BB4">
        <w:rPr>
          <w:vertAlign w:val="superscript"/>
        </w:rPr>
        <w:t>o</w:t>
      </w:r>
      <w:r w:rsidR="00654BB4" w:rsidRPr="00654BB4">
        <w:t>C</w:t>
      </w:r>
      <w:proofErr w:type="spellEnd"/>
      <w:r w:rsidRPr="00FD783B">
        <w:t xml:space="preserve">, followed by homogenizing with a crusher (Y400, </w:t>
      </w:r>
      <w:proofErr w:type="spellStart"/>
      <w:r w:rsidRPr="00FD783B">
        <w:t>Boou</w:t>
      </w:r>
      <w:proofErr w:type="spellEnd"/>
      <w:r w:rsidRPr="00FD783B">
        <w:t xml:space="preserve"> Hardware, China) till 99% of the solids could pass through a 60-mesh standard sieve. </w:t>
      </w:r>
      <w:bookmarkStart w:id="45" w:name="OLE_LINK11"/>
      <w:bookmarkStart w:id="46" w:name="OLE_LINK5"/>
      <w:bookmarkStart w:id="47" w:name="OLE_LINK15"/>
      <w:r w:rsidRPr="00FD783B">
        <w:t>The mean particle diameter of dry THS was 87 ± 2 µm. A commercial montmorillonite</w:t>
      </w:r>
      <w:bookmarkEnd w:id="45"/>
      <w:r w:rsidRPr="00FD783B">
        <w:t xml:space="preserve"> </w:t>
      </w:r>
      <w:r w:rsidRPr="00FD783B">
        <w:lastRenderedPageBreak/>
        <w:t>K10</w:t>
      </w:r>
      <w:bookmarkEnd w:id="46"/>
      <w:r w:rsidRPr="00FD783B">
        <w:t xml:space="preserve"> </w:t>
      </w:r>
      <w:bookmarkEnd w:id="47"/>
      <w:r w:rsidRPr="00FD783B">
        <w:t xml:space="preserve">powder </w:t>
      </w:r>
      <w:r w:rsidR="0062608B" w:rsidRPr="00FD783B">
        <w:t xml:space="preserve">(Sigma-Aldrich, USA), </w:t>
      </w:r>
      <w:r w:rsidRPr="00FD783B">
        <w:t>with a size of 205 ± 10 µm</w:t>
      </w:r>
      <w:r w:rsidR="0062608B" w:rsidRPr="00FD783B">
        <w:t xml:space="preserve"> and </w:t>
      </w:r>
      <w:r w:rsidRPr="00FD783B">
        <w:t xml:space="preserve">rich silicate and aluminum minerals, was chosen as the model clay in this </w:t>
      </w:r>
      <w:r w:rsidR="0062608B" w:rsidRPr="00FD783B">
        <w:t>experimental study</w:t>
      </w:r>
      <w:r w:rsidRPr="00FD783B">
        <w:t xml:space="preserve">. The model montmorillonite is known to possess a </w:t>
      </w:r>
      <w:bookmarkStart w:id="48" w:name="OLE_LINK28"/>
      <w:r w:rsidRPr="00FD783B">
        <w:t>large surface area, good affinity to cations</w:t>
      </w:r>
      <w:bookmarkEnd w:id="48"/>
      <w:r w:rsidRPr="00FD783B">
        <w:t xml:space="preserve">, and </w:t>
      </w:r>
      <w:bookmarkStart w:id="49" w:name="OLE_LINK29"/>
      <w:r w:rsidRPr="00FD783B">
        <w:t>highly plastic</w:t>
      </w:r>
      <w:bookmarkEnd w:id="49"/>
      <w:r w:rsidRPr="00FD783B">
        <w:t xml:space="preserve"> property, suitable for the preparation of ceramic products </w:t>
      </w:r>
      <w:r w:rsidRPr="00FD783B">
        <w:rPr>
          <w:noProof/>
        </w:rPr>
        <w:t>(Alamudy and Cho, 2018; Heimann, 2010)</w:t>
      </w:r>
      <w:r w:rsidRPr="00FD783B">
        <w:t>. The main chemical compositions</w:t>
      </w:r>
      <w:r w:rsidR="00267C7F" w:rsidRPr="00FD783B">
        <w:t xml:space="preserve"> and </w:t>
      </w:r>
      <w:r w:rsidR="0062608B" w:rsidRPr="00FD783B">
        <w:t xml:space="preserve">loss on ignition (LOI), </w:t>
      </w:r>
      <w:r w:rsidRPr="00FD783B">
        <w:t xml:space="preserve">of the dry RS, THS, and </w:t>
      </w:r>
      <w:bookmarkStart w:id="50" w:name="OLE_LINK7"/>
      <w:r w:rsidRPr="00FD783B">
        <w:t>montmorillonite</w:t>
      </w:r>
      <w:bookmarkEnd w:id="50"/>
      <w:r w:rsidR="0062608B" w:rsidRPr="00FD783B">
        <w:t xml:space="preserve"> </w:t>
      </w:r>
      <w:r w:rsidRPr="00FD783B">
        <w:t>are given in Table 1.</w:t>
      </w:r>
    </w:p>
    <w:p w14:paraId="7CED1A59" w14:textId="5D8E6F5F" w:rsidR="000D7881" w:rsidRPr="00FD783B" w:rsidRDefault="000D7881" w:rsidP="00584210">
      <w:pPr>
        <w:snapToGrid w:val="0"/>
        <w:spacing w:line="480" w:lineRule="auto"/>
      </w:pPr>
    </w:p>
    <w:bookmarkEnd w:id="41"/>
    <w:bookmarkEnd w:id="42"/>
    <w:p w14:paraId="2F18C0F8" w14:textId="77777777" w:rsidR="000D7881" w:rsidRPr="00FD783B" w:rsidRDefault="000D7881" w:rsidP="00623B10">
      <w:pPr>
        <w:pStyle w:val="2"/>
        <w:snapToGrid w:val="0"/>
      </w:pPr>
      <w:r w:rsidRPr="00FD783B">
        <w:t>2.2 Preparation of ceramic tiles with the sludge addition</w:t>
      </w:r>
    </w:p>
    <w:p w14:paraId="63AFAEA7" w14:textId="4EA8F2F4" w:rsidR="000D7881" w:rsidRPr="00FD783B" w:rsidRDefault="000D7881" w:rsidP="00623B10">
      <w:pPr>
        <w:snapToGrid w:val="0"/>
        <w:spacing w:line="480" w:lineRule="auto"/>
        <w:ind w:firstLineChars="200" w:firstLine="480"/>
      </w:pPr>
      <w:r w:rsidRPr="00FD783B">
        <w:t xml:space="preserve">The THS powder was mixed into the precursor montmorillonite at </w:t>
      </w:r>
      <w:r w:rsidR="00EE0089" w:rsidRPr="00FD783B">
        <w:t xml:space="preserve">dosing </w:t>
      </w:r>
      <w:r w:rsidRPr="00FD783B">
        <w:t xml:space="preserve">proportions of 0, 20, 40, 60, 80, and 100 wt%, labeled as THS‒0, THS‒20, THS‒40, THS‒60, </w:t>
      </w:r>
      <w:bookmarkStart w:id="51" w:name="OLE_LINK6"/>
      <w:r w:rsidRPr="00FD783B">
        <w:t>THS‒80</w:t>
      </w:r>
      <w:bookmarkEnd w:id="51"/>
      <w:r w:rsidRPr="00FD783B">
        <w:t xml:space="preserve">, and THS‒100, respectively. </w:t>
      </w:r>
      <w:bookmarkStart w:id="52" w:name="_Hlk129004674"/>
      <w:bookmarkStart w:id="53" w:name="OLE_LINK12"/>
      <w:bookmarkStart w:id="54" w:name="OLE_LINK13"/>
      <w:r w:rsidRPr="00FD783B">
        <w:t>The powder mixtures were fully mixed by ball milling (QM-QX, Nanjing Nanda Instrument, China) with a ball-powder mass ratio of 10:1 at 500 rpm for 60 min</w:t>
      </w:r>
      <w:r w:rsidR="001E0C6C">
        <w:t xml:space="preserve"> </w:t>
      </w:r>
      <w:r w:rsidR="001E0C6C" w:rsidRPr="001E0C6C">
        <w:t>(Luo et al., 2021)</w:t>
      </w:r>
      <w:r w:rsidRPr="00FD783B">
        <w:t xml:space="preserve">. </w:t>
      </w:r>
      <w:bookmarkEnd w:id="52"/>
      <w:r w:rsidRPr="00FD783B">
        <w:t>For each of the mixtures, 4 g sample was placed in the 20-mm cylindrical mold of a hydraulic press (Die-SP20, Jiaxinhai Machinery Equipment, China)</w:t>
      </w:r>
      <w:r w:rsidR="00EE0089" w:rsidRPr="00FD783B">
        <w:t xml:space="preserve"> and </w:t>
      </w:r>
      <w:r w:rsidRPr="00FD783B">
        <w:t xml:space="preserve">consolidated under the pressure of 10 MPa for 2 min, forming a 20-mm </w:t>
      </w:r>
      <w:bookmarkStart w:id="55" w:name="OLE_LINK14"/>
      <w:r w:rsidRPr="00FD783B">
        <w:t>green compact</w:t>
      </w:r>
      <w:bookmarkEnd w:id="55"/>
      <w:r w:rsidRPr="00FD783B">
        <w:t>. For comparison</w:t>
      </w:r>
      <w:r w:rsidR="00EE0089" w:rsidRPr="00FD783B">
        <w:t xml:space="preserve"> with THS in terms of the quality and performance of the sintered tiles,</w:t>
      </w:r>
      <w:r w:rsidRPr="00FD783B">
        <w:t xml:space="preserve"> the dry RS powder was also applied to make </w:t>
      </w:r>
      <w:r w:rsidR="00EE0089" w:rsidRPr="00FD783B">
        <w:t xml:space="preserve">the </w:t>
      </w:r>
      <w:r w:rsidRPr="00FD783B">
        <w:t>green compact</w:t>
      </w:r>
      <w:r w:rsidR="00EE0089" w:rsidRPr="00FD783B">
        <w:t>s following the same procedure and dosing ratios</w:t>
      </w:r>
      <w:r w:rsidRPr="00FD783B">
        <w:t>.</w:t>
      </w:r>
    </w:p>
    <w:p w14:paraId="62B05D93" w14:textId="0E0A228B" w:rsidR="000D7881" w:rsidRPr="00FD783B" w:rsidRDefault="000D7881" w:rsidP="00623B10">
      <w:pPr>
        <w:snapToGrid w:val="0"/>
        <w:spacing w:line="480" w:lineRule="auto"/>
        <w:ind w:firstLineChars="200" w:firstLine="480"/>
      </w:pPr>
      <w:r w:rsidRPr="00FD783B">
        <w:t xml:space="preserve">The green compacts were sintered in an </w:t>
      </w:r>
      <w:bookmarkStart w:id="56" w:name="OLE_LINK9"/>
      <w:r w:rsidRPr="00FD783B">
        <w:t xml:space="preserve">electrical furnace </w:t>
      </w:r>
      <w:bookmarkEnd w:id="56"/>
      <w:r w:rsidRPr="00FD783B">
        <w:t xml:space="preserve">(LHT 01/17D, Neueste Nachrichten, Germany) in accordance to the following </w:t>
      </w:r>
      <w:bookmarkStart w:id="57" w:name="_Hlk127971388"/>
      <w:r w:rsidRPr="00FD783B">
        <w:t xml:space="preserve">temperature program </w:t>
      </w:r>
      <w:bookmarkEnd w:id="57"/>
      <w:r w:rsidRPr="00FD783B">
        <w:t>to produce the ceramic tile</w:t>
      </w:r>
      <w:r w:rsidR="007E065A" w:rsidRPr="00FD783B">
        <w:t>s</w:t>
      </w:r>
      <w:r w:rsidRPr="00FD783B">
        <w:t xml:space="preserve"> </w:t>
      </w:r>
      <w:r w:rsidR="005611C2">
        <w:t xml:space="preserve">(Fig. S2) </w:t>
      </w:r>
      <w:r w:rsidRPr="00FD783B">
        <w:rPr>
          <w:noProof/>
        </w:rPr>
        <w:t>(Benlalla et al., 2015)</w:t>
      </w:r>
      <w:r w:rsidRPr="00FD783B">
        <w:t>: (</w:t>
      </w:r>
      <w:proofErr w:type="spellStart"/>
      <w:r w:rsidRPr="00FD783B">
        <w:t>i</w:t>
      </w:r>
      <w:proofErr w:type="spellEnd"/>
      <w:r w:rsidRPr="00FD783B">
        <w:t xml:space="preserve">) heating from room temperature to 550 </w:t>
      </w:r>
      <w:proofErr w:type="spellStart"/>
      <w:r w:rsidR="00654BB4" w:rsidRPr="00654BB4">
        <w:rPr>
          <w:vertAlign w:val="superscript"/>
        </w:rPr>
        <w:t>o</w:t>
      </w:r>
      <w:r w:rsidR="00654BB4" w:rsidRPr="00654BB4">
        <w:t>C</w:t>
      </w:r>
      <w:proofErr w:type="spellEnd"/>
      <w:r w:rsidRPr="00FD783B">
        <w:t xml:space="preserve"> at a rate of 5 </w:t>
      </w:r>
      <w:proofErr w:type="spellStart"/>
      <w:r w:rsidR="00654BB4" w:rsidRPr="00654BB4">
        <w:rPr>
          <w:vertAlign w:val="superscript"/>
        </w:rPr>
        <w:t>o</w:t>
      </w:r>
      <w:r w:rsidR="00654BB4" w:rsidRPr="00654BB4">
        <w:t>C</w:t>
      </w:r>
      <w:proofErr w:type="spellEnd"/>
      <w:r w:rsidR="00654BB4" w:rsidRPr="00FD783B">
        <w:t xml:space="preserve"> </w:t>
      </w:r>
      <w:r w:rsidRPr="00FD783B">
        <w:t xml:space="preserve">/min, (ii) holding at 550 </w:t>
      </w:r>
      <w:proofErr w:type="spellStart"/>
      <w:r w:rsidR="00654BB4" w:rsidRPr="00654BB4">
        <w:rPr>
          <w:vertAlign w:val="superscript"/>
        </w:rPr>
        <w:t>o</w:t>
      </w:r>
      <w:r w:rsidR="00654BB4" w:rsidRPr="00654BB4">
        <w:t>C</w:t>
      </w:r>
      <w:proofErr w:type="spellEnd"/>
      <w:r w:rsidRPr="00FD783B">
        <w:t xml:space="preserve"> for 30 min, (iii) heating from 550 </w:t>
      </w:r>
      <w:proofErr w:type="spellStart"/>
      <w:r w:rsidR="00654BB4" w:rsidRPr="00654BB4">
        <w:rPr>
          <w:vertAlign w:val="superscript"/>
        </w:rPr>
        <w:t>o</w:t>
      </w:r>
      <w:r w:rsidR="00654BB4" w:rsidRPr="00654BB4">
        <w:t>C</w:t>
      </w:r>
      <w:proofErr w:type="spellEnd"/>
      <w:r w:rsidRPr="00FD783B">
        <w:t xml:space="preserve"> to the target sintering temperature of 1200 </w:t>
      </w:r>
      <w:proofErr w:type="spellStart"/>
      <w:r w:rsidR="00654BB4" w:rsidRPr="00654BB4">
        <w:rPr>
          <w:vertAlign w:val="superscript"/>
        </w:rPr>
        <w:t>o</w:t>
      </w:r>
      <w:r w:rsidR="00654BB4" w:rsidRPr="00654BB4">
        <w:t>C</w:t>
      </w:r>
      <w:proofErr w:type="spellEnd"/>
      <w:r w:rsidRPr="00FD783B">
        <w:t xml:space="preserve"> at 5 </w:t>
      </w:r>
      <w:proofErr w:type="spellStart"/>
      <w:r w:rsidR="00654BB4" w:rsidRPr="00654BB4">
        <w:rPr>
          <w:vertAlign w:val="superscript"/>
        </w:rPr>
        <w:t>o</w:t>
      </w:r>
      <w:r w:rsidR="00654BB4" w:rsidRPr="00654BB4">
        <w:t>C</w:t>
      </w:r>
      <w:proofErr w:type="spellEnd"/>
      <w:r w:rsidR="00654BB4" w:rsidRPr="00FD783B">
        <w:t xml:space="preserve"> </w:t>
      </w:r>
      <w:r w:rsidRPr="00FD783B">
        <w:t xml:space="preserve">/min, (iv) holding at 1200 </w:t>
      </w:r>
      <w:proofErr w:type="spellStart"/>
      <w:r w:rsidR="00654BB4" w:rsidRPr="00654BB4">
        <w:rPr>
          <w:vertAlign w:val="superscript"/>
        </w:rPr>
        <w:t>o</w:t>
      </w:r>
      <w:r w:rsidR="00654BB4" w:rsidRPr="00654BB4">
        <w:t>C</w:t>
      </w:r>
      <w:proofErr w:type="spellEnd"/>
      <w:r w:rsidRPr="00FD783B">
        <w:t xml:space="preserve"> for 120 min, and (v) cooling naturally in the furnace. To investigate the effect of sintering temperature on the morphology and properties of the ceramic tile</w:t>
      </w:r>
      <w:r w:rsidR="007E065A" w:rsidRPr="00FD783B">
        <w:t>s</w:t>
      </w:r>
      <w:r w:rsidRPr="00FD783B">
        <w:t xml:space="preserve">, the target temperature in steps iii and iv was set at 550, 800, 900, 1000, and 1100 </w:t>
      </w:r>
      <w:proofErr w:type="spellStart"/>
      <w:r w:rsidR="00654BB4" w:rsidRPr="00654BB4">
        <w:rPr>
          <w:vertAlign w:val="superscript"/>
        </w:rPr>
        <w:t>o</w:t>
      </w:r>
      <w:r w:rsidR="00654BB4" w:rsidRPr="00654BB4">
        <w:t>C</w:t>
      </w:r>
      <w:proofErr w:type="spellEnd"/>
      <w:r w:rsidRPr="00FD783B">
        <w:t xml:space="preserve">, while the other steps and conditions remained the same. </w:t>
      </w:r>
      <w:r w:rsidRPr="00FD783B">
        <w:lastRenderedPageBreak/>
        <w:t xml:space="preserve">The </w:t>
      </w:r>
      <w:r w:rsidR="007E065A" w:rsidRPr="00FD783B">
        <w:t>respective</w:t>
      </w:r>
      <w:r w:rsidRPr="00FD783B">
        <w:t xml:space="preserve"> products were labeled as T‒550, T‒800, T‒900, T‒1000, T‒1100, and T‒1200, </w:t>
      </w:r>
      <w:bookmarkEnd w:id="53"/>
      <w:bookmarkEnd w:id="54"/>
      <w:r w:rsidRPr="00FD783B">
        <w:t xml:space="preserve">plus </w:t>
      </w:r>
      <w:r w:rsidR="007E065A" w:rsidRPr="00FD783B">
        <w:t xml:space="preserve">a </w:t>
      </w:r>
      <w:r w:rsidRPr="00FD783B">
        <w:t xml:space="preserve">control </w:t>
      </w:r>
      <w:r w:rsidR="007E065A" w:rsidRPr="00FD783B">
        <w:t xml:space="preserve">which was the </w:t>
      </w:r>
      <w:r w:rsidRPr="00FD783B">
        <w:t>green compact at room temperature (T‒25, without sintering).</w:t>
      </w:r>
    </w:p>
    <w:p w14:paraId="2302CDAF" w14:textId="77777777" w:rsidR="000D7881" w:rsidRPr="00FD783B" w:rsidRDefault="000D7881" w:rsidP="00623B10">
      <w:pPr>
        <w:snapToGrid w:val="0"/>
        <w:spacing w:line="480" w:lineRule="auto"/>
      </w:pPr>
    </w:p>
    <w:p w14:paraId="3D998106" w14:textId="77777777" w:rsidR="000D7881" w:rsidRPr="00FD783B" w:rsidRDefault="000D7881" w:rsidP="00623B10">
      <w:pPr>
        <w:pStyle w:val="2"/>
        <w:snapToGrid w:val="0"/>
      </w:pPr>
      <w:bookmarkStart w:id="58" w:name="OLE_LINK34"/>
      <w:r w:rsidRPr="00FD783B">
        <w:t>2.3 Measurement and characterization</w:t>
      </w:r>
    </w:p>
    <w:bookmarkEnd w:id="58"/>
    <w:p w14:paraId="44F7A3D6" w14:textId="5CE6CD58" w:rsidR="000D7881" w:rsidRPr="00FD783B" w:rsidRDefault="000D7881" w:rsidP="00623B10">
      <w:pPr>
        <w:snapToGrid w:val="0"/>
        <w:spacing w:line="480" w:lineRule="auto"/>
        <w:ind w:firstLineChars="200" w:firstLine="480"/>
      </w:pPr>
      <w:r w:rsidRPr="00FD783B">
        <w:t>Measurement</w:t>
      </w:r>
      <w:r w:rsidR="007E065A" w:rsidRPr="00FD783B">
        <w:t>s</w:t>
      </w:r>
      <w:r w:rsidRPr="00FD783B">
        <w:t xml:space="preserve"> of </w:t>
      </w:r>
      <w:r w:rsidR="007E065A" w:rsidRPr="00FD783B">
        <w:t xml:space="preserve">the </w:t>
      </w:r>
      <w:r w:rsidRPr="00FD783B">
        <w:t xml:space="preserve">TS, VS, and COD </w:t>
      </w:r>
      <w:r w:rsidR="007E065A" w:rsidRPr="00FD783B">
        <w:t xml:space="preserve">of the sludge were performed </w:t>
      </w:r>
      <w:r w:rsidRPr="00FD783B">
        <w:t>follow</w:t>
      </w:r>
      <w:r w:rsidR="007E065A" w:rsidRPr="00FD783B">
        <w:t>ing</w:t>
      </w:r>
      <w:r w:rsidRPr="00FD783B">
        <w:t xml:space="preserve"> the </w:t>
      </w:r>
      <w:r w:rsidR="005A2E05" w:rsidRPr="00FD783B">
        <w:t>S</w:t>
      </w:r>
      <w:r w:rsidRPr="00FD783B">
        <w:t xml:space="preserve">tandard </w:t>
      </w:r>
      <w:r w:rsidR="005A2E05" w:rsidRPr="00FD783B">
        <w:t>M</w:t>
      </w:r>
      <w:r w:rsidRPr="00FD783B">
        <w:t xml:space="preserve">ethods </w:t>
      </w:r>
      <w:r w:rsidRPr="00FD783B">
        <w:rPr>
          <w:noProof/>
        </w:rPr>
        <w:t>(Eaton et al., 2005)</w:t>
      </w:r>
      <w:r w:rsidRPr="00FD783B">
        <w:t xml:space="preserve">. </w:t>
      </w:r>
      <w:bookmarkStart w:id="59" w:name="_Hlk129004706"/>
      <w:r w:rsidRPr="00FD783B">
        <w:t xml:space="preserve">For the powder materials of the dry sludge and montmorillonite, their chemical compositions were determined by </w:t>
      </w:r>
      <w:bookmarkStart w:id="60" w:name="OLE_LINK93"/>
      <w:r w:rsidRPr="00FD783B">
        <w:t>X-ray fluorescence spectrometer (XRF</w:t>
      </w:r>
      <w:bookmarkEnd w:id="60"/>
      <w:r w:rsidRPr="00FD783B">
        <w:t>, PANalytical, The Netherlands)</w:t>
      </w:r>
      <w:r w:rsidR="003D1E3A">
        <w:t xml:space="preserve"> </w:t>
      </w:r>
      <w:r w:rsidR="003D1E3A" w:rsidRPr="003D1E3A">
        <w:t>(Igarashi et al., 2020)</w:t>
      </w:r>
      <w:r w:rsidRPr="00FD783B">
        <w:t>.</w:t>
      </w:r>
      <w:bookmarkEnd w:id="59"/>
      <w:r w:rsidRPr="00FD783B">
        <w:t xml:space="preserve"> Heavy metals were detected using the inductively coupled plasma optical emission spectroscopy (ICP-OES, Optima 8000, PerkinElmer, United States) </w:t>
      </w:r>
      <w:r w:rsidRPr="00FD783B">
        <w:rPr>
          <w:noProof/>
        </w:rPr>
        <w:t>(Ottosen et al., 2020)</w:t>
      </w:r>
      <w:r w:rsidRPr="00FD783B">
        <w:t xml:space="preserve">. </w:t>
      </w:r>
      <w:r w:rsidR="007E065A" w:rsidRPr="00FD783B">
        <w:t>For the ICP-OES detection, t</w:t>
      </w:r>
      <w:r w:rsidRPr="00FD783B">
        <w:t xml:space="preserve">he powder sample (1.0 g) was digested by dissolving in 20.0 ml 7.3 M </w:t>
      </w:r>
      <w:bookmarkStart w:id="61" w:name="OLE_LINK19"/>
      <w:r w:rsidRPr="00FD783B">
        <w:t>HNO</w:t>
      </w:r>
      <w:r w:rsidRPr="00FD783B">
        <w:rPr>
          <w:vertAlign w:val="subscript"/>
        </w:rPr>
        <w:t>3</w:t>
      </w:r>
      <w:bookmarkEnd w:id="61"/>
      <w:r w:rsidRPr="00FD783B">
        <w:t xml:space="preserve"> and heating at 120 </w:t>
      </w:r>
      <w:proofErr w:type="spellStart"/>
      <w:r w:rsidR="00654BB4" w:rsidRPr="00654BB4">
        <w:rPr>
          <w:vertAlign w:val="superscript"/>
        </w:rPr>
        <w:t>o</w:t>
      </w:r>
      <w:r w:rsidR="00654BB4" w:rsidRPr="00654BB4">
        <w:t>C</w:t>
      </w:r>
      <w:proofErr w:type="spellEnd"/>
      <w:r w:rsidRPr="00FD783B">
        <w:t xml:space="preserve"> for 30 min for prior digestion, and the supernatant was filtered through a 0.45-µm membrane before the measurement</w:t>
      </w:r>
      <w:bookmarkStart w:id="62" w:name="_Hlk129004735"/>
      <w:r w:rsidRPr="00FD783B">
        <w:t xml:space="preserve">. The thermogravimetry analysis and differential scanning calorimetry (TGA-DSC, Model STA 449 C, NETZSCH, Germany) characterization were carried out on the solid samples in the air, simulating the sintering procedure </w:t>
      </w:r>
      <w:r w:rsidR="007E065A" w:rsidRPr="00FD783B">
        <w:t>of</w:t>
      </w:r>
      <w:r w:rsidRPr="00FD783B">
        <w:t xml:space="preserve"> ceramic preparation at a heating rate of 5 </w:t>
      </w:r>
      <w:proofErr w:type="spellStart"/>
      <w:r w:rsidR="00654BB4" w:rsidRPr="00654BB4">
        <w:rPr>
          <w:vertAlign w:val="superscript"/>
        </w:rPr>
        <w:t>o</w:t>
      </w:r>
      <w:r w:rsidR="00654BB4" w:rsidRPr="00654BB4">
        <w:t>C</w:t>
      </w:r>
      <w:proofErr w:type="spellEnd"/>
      <w:r w:rsidRPr="00FD783B">
        <w:t xml:space="preserve">/min from room temperature to 1200 </w:t>
      </w:r>
      <w:proofErr w:type="spellStart"/>
      <w:r w:rsidR="00654BB4" w:rsidRPr="00654BB4">
        <w:rPr>
          <w:vertAlign w:val="superscript"/>
        </w:rPr>
        <w:t>o</w:t>
      </w:r>
      <w:r w:rsidR="00654BB4" w:rsidRPr="00654BB4">
        <w:t>C</w:t>
      </w:r>
      <w:proofErr w:type="spellEnd"/>
      <w:r w:rsidR="00FC7B17">
        <w:t xml:space="preserve"> </w:t>
      </w:r>
      <w:r w:rsidR="00E862FA" w:rsidRPr="00E862FA">
        <w:t>(Luo et al., 2017)</w:t>
      </w:r>
      <w:r w:rsidRPr="00FD783B">
        <w:t xml:space="preserve">. </w:t>
      </w:r>
      <w:bookmarkEnd w:id="62"/>
    </w:p>
    <w:p w14:paraId="6B552EB8" w14:textId="1DAB0215" w:rsidR="000D7881" w:rsidRPr="00FD783B" w:rsidRDefault="000D7881" w:rsidP="00623B10">
      <w:pPr>
        <w:snapToGrid w:val="0"/>
        <w:spacing w:line="480" w:lineRule="auto"/>
        <w:ind w:firstLineChars="200" w:firstLine="480"/>
      </w:pPr>
      <w:r w:rsidRPr="00FD783B">
        <w:t xml:space="preserve">For the sintered tiles, the properties including </w:t>
      </w:r>
      <w:bookmarkStart w:id="63" w:name="_Hlk114844734"/>
      <w:r w:rsidRPr="00FD783B">
        <w:t>macroscopic morphology</w:t>
      </w:r>
      <w:bookmarkEnd w:id="63"/>
      <w:r w:rsidRPr="00FD783B">
        <w:t xml:space="preserve">, densification degree, mechanical strength, and leaching potential of heavy metals were analyzed. </w:t>
      </w:r>
      <w:r w:rsidR="004B317D" w:rsidRPr="00FD783B">
        <w:t>The m</w:t>
      </w:r>
      <w:r w:rsidRPr="00FD783B">
        <w:t xml:space="preserve">acroscopic morphology </w:t>
      </w:r>
      <w:r w:rsidR="004B317D" w:rsidRPr="00FD783B">
        <w:t xml:space="preserve">related properties include </w:t>
      </w:r>
      <w:r w:rsidRPr="00FD783B">
        <w:t xml:space="preserve">the shape and color, linear shrinkage (LS), and LOI of the products. LS was expressed as the change of the diameter from the green </w:t>
      </w:r>
      <w:r w:rsidR="004B317D" w:rsidRPr="00FD783B">
        <w:t xml:space="preserve">compact </w:t>
      </w:r>
      <w:r w:rsidRPr="00FD783B">
        <w:t>(D</w:t>
      </w:r>
      <w:r w:rsidRPr="00FD783B">
        <w:rPr>
          <w:i/>
          <w:iCs/>
          <w:vertAlign w:val="subscript"/>
        </w:rPr>
        <w:t>g</w:t>
      </w:r>
      <w:r w:rsidRPr="00FD783B">
        <w:t xml:space="preserve">) to the sintered </w:t>
      </w:r>
      <w:r w:rsidR="004B317D" w:rsidRPr="00FD783B">
        <w:t xml:space="preserve">tile specimen </w:t>
      </w:r>
      <w:r w:rsidRPr="00FD783B">
        <w:t>(D</w:t>
      </w:r>
      <w:r w:rsidRPr="00FD783B">
        <w:rPr>
          <w:i/>
          <w:iCs/>
          <w:vertAlign w:val="subscript"/>
        </w:rPr>
        <w:t>s</w:t>
      </w:r>
      <w:r w:rsidRPr="00FD783B">
        <w:t>):</w:t>
      </w:r>
    </w:p>
    <w:p w14:paraId="3DEE2ADA" w14:textId="66542938" w:rsidR="000D7881" w:rsidRPr="00FD783B" w:rsidRDefault="000D7881" w:rsidP="00623B10">
      <w:pPr>
        <w:snapToGrid w:val="0"/>
        <w:spacing w:line="480" w:lineRule="auto"/>
        <w:jc w:val="right"/>
      </w:pPr>
      <w:r w:rsidRPr="00FD783B">
        <w:t xml:space="preserve">  </w:t>
      </w:r>
      <m:oMath>
        <m:r>
          <m:rPr>
            <m:sty m:val="p"/>
          </m:rPr>
          <w:rPr>
            <w:rFonts w:ascii="Cambria Math" w:eastAsia="等线" w:hAnsi="Cambria Math"/>
          </w:rPr>
          <m:t>LS=</m:t>
        </m:r>
        <m:f>
          <m:fPr>
            <m:ctrlPr>
              <w:rPr>
                <w:rFonts w:ascii="Cambria Math" w:eastAsia="等线" w:hAnsi="Cambria Math"/>
                <w:i/>
              </w:rPr>
            </m:ctrlPr>
          </m:fPr>
          <m:num>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g</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s</m:t>
                </m:r>
              </m:sub>
            </m:sSub>
          </m:num>
          <m:den>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g</m:t>
                </m:r>
              </m:sub>
            </m:sSub>
          </m:den>
        </m:f>
        <m:r>
          <w:rPr>
            <w:rFonts w:ascii="Cambria Math" w:eastAsia="等线" w:hAnsi="Cambria Math"/>
          </w:rPr>
          <m:t>×100%</m:t>
        </m:r>
      </m:oMath>
      <w:r w:rsidRPr="00FD783B">
        <w:t xml:space="preserve"> .</w:t>
      </w:r>
      <w:r w:rsidR="004F346A" w:rsidRPr="00FD783B">
        <w:tab/>
      </w:r>
      <w:r w:rsidR="004F346A" w:rsidRPr="00FD783B">
        <w:tab/>
      </w:r>
      <w:r w:rsidR="004F346A" w:rsidRPr="00FD783B">
        <w:tab/>
      </w:r>
      <w:r w:rsidR="004F346A" w:rsidRPr="00FD783B">
        <w:tab/>
        <w:t xml:space="preserve">     </w:t>
      </w:r>
      <w:r w:rsidRPr="00FD783B">
        <w:rPr>
          <w:rFonts w:eastAsia="等线"/>
        </w:rPr>
        <w:t>(1)</w:t>
      </w:r>
    </w:p>
    <w:p w14:paraId="74EEB726" w14:textId="1AB3B9CF" w:rsidR="000D7881" w:rsidRPr="00FD783B" w:rsidRDefault="000D7881" w:rsidP="00623B10">
      <w:pPr>
        <w:snapToGrid w:val="0"/>
        <w:spacing w:line="480" w:lineRule="auto"/>
      </w:pPr>
      <w:r w:rsidRPr="00FD783B">
        <w:t xml:space="preserve">LOI described the change of mass from the green </w:t>
      </w:r>
      <w:r w:rsidR="0024173C" w:rsidRPr="00FD783B">
        <w:t xml:space="preserve">compact </w:t>
      </w:r>
      <w:r w:rsidRPr="00FD783B">
        <w:t>(M</w:t>
      </w:r>
      <w:r w:rsidRPr="00FD783B">
        <w:rPr>
          <w:i/>
          <w:iCs/>
          <w:vertAlign w:val="subscript"/>
        </w:rPr>
        <w:t>g</w:t>
      </w:r>
      <w:r w:rsidRPr="00FD783B">
        <w:t>) to the sintered (M</w:t>
      </w:r>
      <w:r w:rsidRPr="00FD783B">
        <w:rPr>
          <w:i/>
          <w:iCs/>
          <w:vertAlign w:val="subscript"/>
        </w:rPr>
        <w:t>s</w:t>
      </w:r>
      <w:r w:rsidRPr="00FD783B">
        <w:t xml:space="preserve">) tile specimen: </w:t>
      </w:r>
    </w:p>
    <w:p w14:paraId="04F5115D" w14:textId="0993C90C" w:rsidR="000D7881" w:rsidRPr="00FD783B" w:rsidRDefault="000D7881" w:rsidP="00623B10">
      <w:pPr>
        <w:snapToGrid w:val="0"/>
        <w:spacing w:line="480" w:lineRule="auto"/>
        <w:jc w:val="right"/>
      </w:pPr>
      <m:oMath>
        <m:r>
          <m:rPr>
            <m:sty m:val="p"/>
          </m:rPr>
          <w:rPr>
            <w:rFonts w:ascii="Cambria Math" w:hAnsi="Cambria Math"/>
          </w:rPr>
          <m:t>LOI</m:t>
        </m:r>
        <m:r>
          <m:rPr>
            <m:sty m:val="p"/>
          </m:rPr>
          <w:rPr>
            <w:rFonts w:ascii="Cambria Math" w:eastAsia="等线" w:hAnsi="Cambria Math"/>
          </w:rPr>
          <m:t>=</m:t>
        </m:r>
        <m:f>
          <m:fPr>
            <m:ctrlPr>
              <w:rPr>
                <w:rFonts w:ascii="Cambria Math" w:eastAsia="等线" w:hAnsi="Cambria Math"/>
                <w:i/>
              </w:rPr>
            </m:ctrlPr>
          </m:fPr>
          <m:num>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g</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s</m:t>
                </m:r>
              </m:sub>
            </m:sSub>
          </m:num>
          <m:den>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g</m:t>
                </m:r>
              </m:sub>
            </m:sSub>
          </m:den>
        </m:f>
        <m:r>
          <w:rPr>
            <w:rFonts w:ascii="Cambria Math" w:eastAsia="等线" w:hAnsi="Cambria Math"/>
          </w:rPr>
          <m:t>×100%</m:t>
        </m:r>
      </m:oMath>
      <w:r w:rsidRPr="00FD783B">
        <w:t xml:space="preserve"> .</w:t>
      </w:r>
      <w:r w:rsidR="004F346A" w:rsidRPr="00FD783B">
        <w:tab/>
      </w:r>
      <w:r w:rsidR="004F346A" w:rsidRPr="00FD783B">
        <w:tab/>
      </w:r>
      <w:r w:rsidR="004F346A" w:rsidRPr="00FD783B">
        <w:tab/>
      </w:r>
      <w:r w:rsidR="004F346A" w:rsidRPr="00FD783B">
        <w:tab/>
        <w:t xml:space="preserve">   </w:t>
      </w:r>
      <w:r w:rsidRPr="00FD783B">
        <w:t xml:space="preserve"> </w:t>
      </w:r>
      <w:r w:rsidRPr="00FD783B">
        <w:rPr>
          <w:rFonts w:eastAsia="等线"/>
        </w:rPr>
        <w:t>(2)</w:t>
      </w:r>
    </w:p>
    <w:p w14:paraId="48A7C745" w14:textId="0E7DE247" w:rsidR="000D7881" w:rsidRPr="00FD783B" w:rsidRDefault="000D7881" w:rsidP="00623B10">
      <w:pPr>
        <w:snapToGrid w:val="0"/>
        <w:spacing w:line="480" w:lineRule="auto"/>
      </w:pPr>
      <w:r w:rsidRPr="00FD783B">
        <w:lastRenderedPageBreak/>
        <w:t>The densification degree was depicted by the water absorption (WA), bulk density (D</w:t>
      </w:r>
      <w:r w:rsidRPr="00FD783B">
        <w:rPr>
          <w:i/>
          <w:iCs/>
          <w:vertAlign w:val="subscript"/>
        </w:rPr>
        <w:t>b</w:t>
      </w:r>
      <w:r w:rsidRPr="00FD783B">
        <w:t>), and open porosity (P</w:t>
      </w:r>
      <w:r w:rsidRPr="00FD783B">
        <w:rPr>
          <w:i/>
          <w:iCs/>
          <w:vertAlign w:val="subscript"/>
        </w:rPr>
        <w:t>0</w:t>
      </w:r>
      <w:r w:rsidRPr="00FD783B">
        <w:t xml:space="preserve">), following the </w:t>
      </w:r>
      <w:bookmarkStart w:id="64" w:name="OLE_LINK39"/>
      <w:r w:rsidRPr="00FD783B">
        <w:t xml:space="preserve">ASTM C373 protocol </w:t>
      </w:r>
      <w:bookmarkEnd w:id="64"/>
      <w:r w:rsidRPr="00FD783B">
        <w:t xml:space="preserve">on the basis of Archimedes principle </w:t>
      </w:r>
      <w:r w:rsidRPr="00FD783B">
        <w:rPr>
          <w:noProof/>
        </w:rPr>
        <w:t>(Luo et al., 2021)</w:t>
      </w:r>
      <w:r w:rsidRPr="00FD783B">
        <w:t>, where the sintered tile specimen was totally immersed in boiling water until the water absorption was saturated</w:t>
      </w:r>
      <w:r w:rsidR="0024173C" w:rsidRPr="00FD783B">
        <w:t>,</w:t>
      </w:r>
      <w:r w:rsidRPr="00FD783B">
        <w:t xml:space="preserve"> and water cooled down to room temperature afterwards:</w:t>
      </w:r>
    </w:p>
    <w:p w14:paraId="67947B87" w14:textId="454D2A37" w:rsidR="000D7881" w:rsidRPr="00FD783B" w:rsidRDefault="000D7881" w:rsidP="00623B10">
      <w:pPr>
        <w:snapToGrid w:val="0"/>
        <w:spacing w:line="480" w:lineRule="auto"/>
        <w:jc w:val="right"/>
        <w:rPr>
          <w:rFonts w:eastAsia="等线"/>
        </w:rPr>
      </w:pPr>
      <m:oMath>
        <m:r>
          <m:rPr>
            <m:sty m:val="p"/>
          </m:rPr>
          <w:rPr>
            <w:rFonts w:ascii="Cambria Math" w:eastAsia="等线" w:hAnsi="Cambria Math"/>
          </w:rPr>
          <m:t>WA=</m:t>
        </m:r>
        <m:f>
          <m:fPr>
            <m:ctrlPr>
              <w:rPr>
                <w:rFonts w:ascii="Cambria Math" w:eastAsia="等线" w:hAnsi="Cambria Math"/>
                <w:i/>
              </w:rPr>
            </m:ctrlPr>
          </m:fPr>
          <m:num>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1</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s</m:t>
                </m:r>
              </m:sub>
            </m:sSub>
          </m:num>
          <m:den>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s</m:t>
                </m:r>
              </m:sub>
            </m:sSub>
          </m:den>
        </m:f>
        <m:r>
          <w:rPr>
            <w:rFonts w:ascii="Cambria Math" w:eastAsia="等线" w:hAnsi="Cambria Math"/>
          </w:rPr>
          <m:t>×100%</m:t>
        </m:r>
      </m:oMath>
      <w:r w:rsidRPr="00FD783B">
        <w:t xml:space="preserve"> ,</w:t>
      </w:r>
      <w:r w:rsidR="004F346A" w:rsidRPr="00FD783B">
        <w:t xml:space="preserve"> </w:t>
      </w:r>
      <w:r w:rsidR="004F346A" w:rsidRPr="00FD783B">
        <w:tab/>
      </w:r>
      <w:r w:rsidR="004F346A" w:rsidRPr="00FD783B">
        <w:tab/>
      </w:r>
      <w:r w:rsidR="004F346A" w:rsidRPr="00FD783B">
        <w:tab/>
      </w:r>
      <w:r w:rsidR="004F346A" w:rsidRPr="00FD783B">
        <w:tab/>
        <w:t xml:space="preserve">   </w:t>
      </w:r>
      <w:r w:rsidRPr="00FD783B">
        <w:rPr>
          <w:rFonts w:eastAsia="等线"/>
        </w:rPr>
        <w:t>(3)</w:t>
      </w:r>
    </w:p>
    <w:p w14:paraId="4653E59A" w14:textId="703A61D1" w:rsidR="000D7881" w:rsidRPr="00FD783B" w:rsidRDefault="00000000" w:rsidP="00623B10">
      <w:pPr>
        <w:snapToGrid w:val="0"/>
        <w:spacing w:line="480" w:lineRule="auto"/>
        <w:jc w:val="right"/>
        <w:rPr>
          <w:rFonts w:eastAsia="等线"/>
        </w:rPr>
      </w:pPr>
      <m:oMath>
        <m:sSub>
          <m:sSubPr>
            <m:ctrlPr>
              <w:rPr>
                <w:rFonts w:ascii="Cambria Math" w:eastAsia="等线" w:hAnsi="Cambria Math"/>
              </w:rPr>
            </m:ctrlPr>
          </m:sSubPr>
          <m:e>
            <m:r>
              <m:rPr>
                <m:sty m:val="p"/>
              </m:rPr>
              <w:rPr>
                <w:rFonts w:ascii="Cambria Math" w:eastAsia="等线" w:hAnsi="Cambria Math"/>
              </w:rPr>
              <m:t>D</m:t>
            </m:r>
          </m:e>
          <m:sub>
            <m:r>
              <w:rPr>
                <w:rFonts w:ascii="Cambria Math" w:eastAsia="等线" w:hAnsi="Cambria Math"/>
              </w:rPr>
              <m:t>b</m:t>
            </m:r>
          </m:sub>
        </m:sSub>
        <m:r>
          <m:rPr>
            <m:sty m:val="p"/>
          </m:rPr>
          <w:rPr>
            <w:rFonts w:ascii="Cambria Math" w:eastAsia="等线" w:hAnsi="Cambria Math"/>
          </w:rPr>
          <m:t>=</m:t>
        </m:r>
        <m:f>
          <m:fPr>
            <m:ctrlPr>
              <w:rPr>
                <w:rFonts w:ascii="Cambria Math" w:eastAsia="等线" w:hAnsi="Cambria Math"/>
                <w:i/>
              </w:rPr>
            </m:ctrlPr>
          </m:fPr>
          <m:num>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s</m:t>
                </m:r>
              </m:sub>
            </m:sSub>
            <m:sSub>
              <m:sSubPr>
                <m:ctrlPr>
                  <w:rPr>
                    <w:rFonts w:ascii="Cambria Math" w:eastAsia="等线" w:hAnsi="Cambria Math"/>
                    <w:i/>
                  </w:rPr>
                </m:ctrlPr>
              </m:sSubPr>
              <m:e>
                <m:r>
                  <w:rPr>
                    <w:rFonts w:ascii="Cambria Math" w:eastAsia="等线" w:hAnsi="Cambria Math"/>
                  </w:rPr>
                  <m:t>ρ</m:t>
                </m:r>
              </m:e>
              <m:sub>
                <m:r>
                  <w:rPr>
                    <w:rFonts w:ascii="Cambria Math" w:eastAsia="等线" w:hAnsi="Cambria Math"/>
                  </w:rPr>
                  <m:t>0</m:t>
                </m:r>
              </m:sub>
            </m:sSub>
          </m:num>
          <m:den>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2</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1</m:t>
                </m:r>
              </m:sub>
            </m:sSub>
          </m:den>
        </m:f>
      </m:oMath>
      <w:r w:rsidR="000D7881" w:rsidRPr="00FD783B">
        <w:t xml:space="preserve"> ,</w:t>
      </w:r>
      <w:r w:rsidR="004F346A" w:rsidRPr="00FD783B">
        <w:tab/>
      </w:r>
      <w:r w:rsidR="004F346A" w:rsidRPr="00FD783B">
        <w:tab/>
      </w:r>
      <w:r w:rsidR="004F346A" w:rsidRPr="00FD783B">
        <w:tab/>
      </w:r>
      <w:r w:rsidR="004F346A" w:rsidRPr="00FD783B">
        <w:tab/>
      </w:r>
      <w:r w:rsidR="004F346A" w:rsidRPr="00FD783B">
        <w:tab/>
        <w:t xml:space="preserve">          </w:t>
      </w:r>
      <w:r w:rsidR="000D7881" w:rsidRPr="00FD783B">
        <w:rPr>
          <w:rFonts w:eastAsia="等线"/>
        </w:rPr>
        <w:t>(4)</w:t>
      </w:r>
    </w:p>
    <w:p w14:paraId="1B9C0C94" w14:textId="3E87C25D" w:rsidR="000D7881" w:rsidRPr="00FD783B" w:rsidRDefault="00000000" w:rsidP="00623B10">
      <w:pPr>
        <w:snapToGrid w:val="0"/>
        <w:spacing w:line="480" w:lineRule="auto"/>
        <w:jc w:val="right"/>
        <w:rPr>
          <w:rFonts w:eastAsia="等线"/>
        </w:rPr>
      </w:pPr>
      <m:oMath>
        <m:sSub>
          <m:sSubPr>
            <m:ctrlPr>
              <w:rPr>
                <w:rFonts w:ascii="Cambria Math" w:eastAsia="等线" w:hAnsi="Cambria Math"/>
              </w:rPr>
            </m:ctrlPr>
          </m:sSubPr>
          <m:e>
            <m:r>
              <m:rPr>
                <m:sty m:val="p"/>
              </m:rPr>
              <w:rPr>
                <w:rFonts w:ascii="Cambria Math" w:eastAsia="等线" w:hAnsi="Cambria Math"/>
              </w:rPr>
              <m:t>P</m:t>
            </m:r>
          </m:e>
          <m:sub>
            <m:r>
              <w:rPr>
                <w:rFonts w:ascii="Cambria Math" w:eastAsia="等线" w:hAnsi="Cambria Math"/>
              </w:rPr>
              <m:t>o</m:t>
            </m:r>
          </m:sub>
        </m:sSub>
        <m:r>
          <m:rPr>
            <m:sty m:val="p"/>
          </m:rPr>
          <w:rPr>
            <w:rFonts w:ascii="Cambria Math" w:eastAsia="等线" w:hAnsi="Cambria Math"/>
          </w:rPr>
          <m:t>=(1-</m:t>
        </m:r>
        <m:f>
          <m:fPr>
            <m:ctrlPr>
              <w:rPr>
                <w:rFonts w:ascii="Cambria Math" w:eastAsia="等线" w:hAnsi="Cambria Math"/>
              </w:rPr>
            </m:ctrlPr>
          </m:fPr>
          <m:num>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s</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1</m:t>
                </m:r>
              </m:sub>
            </m:sSub>
          </m:num>
          <m:den>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2</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M</m:t>
                </m:r>
              </m:e>
              <m:sub>
                <m:r>
                  <w:rPr>
                    <w:rFonts w:ascii="Cambria Math" w:eastAsia="等线" w:hAnsi="Cambria Math"/>
                  </w:rPr>
                  <m:t>1</m:t>
                </m:r>
              </m:sub>
            </m:sSub>
          </m:den>
        </m:f>
        <m:r>
          <m:rPr>
            <m:sty m:val="p"/>
          </m:rPr>
          <w:rPr>
            <w:rFonts w:ascii="Cambria Math" w:eastAsia="等线" w:hAnsi="Cambria Math"/>
          </w:rPr>
          <m:t>)</m:t>
        </m:r>
        <m:r>
          <w:rPr>
            <w:rFonts w:ascii="Cambria Math" w:eastAsia="等线" w:hAnsi="Cambria Math"/>
          </w:rPr>
          <m:t>×100%</m:t>
        </m:r>
      </m:oMath>
      <w:r w:rsidR="000D7881" w:rsidRPr="00FD783B">
        <w:t xml:space="preserve"> .</w:t>
      </w:r>
      <w:r w:rsidR="004F346A" w:rsidRPr="00FD783B">
        <w:tab/>
      </w:r>
      <w:r w:rsidR="004F346A" w:rsidRPr="00FD783B">
        <w:tab/>
      </w:r>
      <w:r w:rsidR="004F346A" w:rsidRPr="00FD783B">
        <w:tab/>
      </w:r>
      <w:r w:rsidR="004F346A" w:rsidRPr="00FD783B">
        <w:tab/>
        <w:t xml:space="preserve">    </w:t>
      </w:r>
      <w:r w:rsidR="000D7881" w:rsidRPr="00FD783B">
        <w:rPr>
          <w:rFonts w:eastAsia="等线"/>
        </w:rPr>
        <w:t>(5)</w:t>
      </w:r>
    </w:p>
    <w:p w14:paraId="4C9B561E" w14:textId="3C40996B" w:rsidR="000D7881" w:rsidRPr="00FD783B" w:rsidRDefault="000D7881" w:rsidP="00623B10">
      <w:pPr>
        <w:snapToGrid w:val="0"/>
        <w:spacing w:line="480" w:lineRule="auto"/>
      </w:pPr>
      <w:r w:rsidRPr="00FD783B">
        <w:t>where M</w:t>
      </w:r>
      <w:r w:rsidRPr="00FD783B">
        <w:rPr>
          <w:vertAlign w:val="subscript"/>
        </w:rPr>
        <w:t>1</w:t>
      </w:r>
      <w:r w:rsidRPr="00FD783B">
        <w:t xml:space="preserve"> and M</w:t>
      </w:r>
      <w:r w:rsidRPr="00FD783B">
        <w:rPr>
          <w:vertAlign w:val="subscript"/>
        </w:rPr>
        <w:t>2</w:t>
      </w:r>
      <w:r w:rsidRPr="00FD783B">
        <w:t xml:space="preserve"> are the masses of the water-saturated tile specimen weighed in water and in air, respectively; ρ</w:t>
      </w:r>
      <w:r w:rsidRPr="00FD783B">
        <w:rPr>
          <w:vertAlign w:val="subscript"/>
        </w:rPr>
        <w:t>0</w:t>
      </w:r>
      <w:r w:rsidRPr="00FD783B">
        <w:t xml:space="preserve"> is the water density (0.998 g/cm</w:t>
      </w:r>
      <w:r w:rsidRPr="00FD783B">
        <w:rPr>
          <w:vertAlign w:val="superscript"/>
        </w:rPr>
        <w:t>3</w:t>
      </w:r>
      <w:r w:rsidRPr="00FD783B">
        <w:t xml:space="preserve">) at room temperature. </w:t>
      </w:r>
      <w:bookmarkStart w:id="65" w:name="_Hlk129004766"/>
      <w:r w:rsidRPr="00FD783B">
        <w:t>The mechanical strength of each ceramic tile specimen was measured by the maximum compressive strength, which is the failure load that breaks the ceramic tile</w:t>
      </w:r>
      <w:r w:rsidR="00EC6535">
        <w:t xml:space="preserve"> </w:t>
      </w:r>
      <w:r w:rsidR="00EC6535" w:rsidRPr="00EC6535">
        <w:t>(Eliche-Quesada et al., 2011)</w:t>
      </w:r>
      <w:r w:rsidRPr="00FD783B">
        <w:t>.</w:t>
      </w:r>
      <w:bookmarkEnd w:id="65"/>
      <w:r w:rsidRPr="00FD783B">
        <w:t xml:space="preserve"> The loading test was conducted using the </w:t>
      </w:r>
      <w:bookmarkStart w:id="66" w:name="OLE_LINK63"/>
      <w:r w:rsidRPr="00FD783B">
        <w:t xml:space="preserve">Instron universal testing machine </w:t>
      </w:r>
      <w:bookmarkEnd w:id="66"/>
      <w:r w:rsidRPr="00FD783B">
        <w:t xml:space="preserve">(Model 3369, Instron, United States) with a vertical loading force of </w:t>
      </w:r>
      <w:r w:rsidR="002E0302" w:rsidRPr="00FD783B">
        <w:t xml:space="preserve">up to </w:t>
      </w:r>
      <w:r w:rsidRPr="00FD783B">
        <w:t xml:space="preserve">50 </w:t>
      </w:r>
      <w:proofErr w:type="spellStart"/>
      <w:r w:rsidR="003D174B" w:rsidRPr="00FD783B">
        <w:t>k</w:t>
      </w:r>
      <w:r w:rsidRPr="00FD783B">
        <w:t>N</w:t>
      </w:r>
      <w:proofErr w:type="spellEnd"/>
      <w:r w:rsidRPr="00FD783B">
        <w:t xml:space="preserve"> and a loading speed was 0.1 mm/min </w:t>
      </w:r>
      <w:r w:rsidRPr="00FD783B">
        <w:rPr>
          <w:noProof/>
        </w:rPr>
        <w:t>(Loutou et al., 2013)</w:t>
      </w:r>
      <w:r w:rsidRPr="00FD783B">
        <w:t>. The quality of the ceramic tile products w</w:t>
      </w:r>
      <w:r w:rsidR="0024173C" w:rsidRPr="00FD783B">
        <w:t>as</w:t>
      </w:r>
      <w:r w:rsidRPr="00FD783B">
        <w:t xml:space="preserve"> then evaluated according to the aforementioned tile characterization and performance. </w:t>
      </w:r>
    </w:p>
    <w:p w14:paraId="7E439A41" w14:textId="4CC80A30" w:rsidR="000D7881" w:rsidRPr="00FD783B" w:rsidRDefault="000D7881" w:rsidP="00623B10">
      <w:pPr>
        <w:snapToGrid w:val="0"/>
        <w:spacing w:line="480" w:lineRule="auto"/>
        <w:ind w:firstLineChars="200" w:firstLine="480"/>
      </w:pPr>
      <w:bookmarkStart w:id="67" w:name="_Hlk127973935"/>
      <w:r w:rsidRPr="00FD783B">
        <w:rPr>
          <w:rFonts w:eastAsia="Calibri"/>
          <w:bCs/>
        </w:rPr>
        <w:t xml:space="preserve">The leaching </w:t>
      </w:r>
      <w:r w:rsidR="003929DE">
        <w:rPr>
          <w:rFonts w:eastAsia="Calibri"/>
          <w:bCs/>
        </w:rPr>
        <w:t xml:space="preserve">potential </w:t>
      </w:r>
      <w:r w:rsidRPr="00FD783B">
        <w:rPr>
          <w:rFonts w:eastAsia="Calibri"/>
          <w:bCs/>
        </w:rPr>
        <w:t xml:space="preserve">of heavy metals </w:t>
      </w:r>
      <w:r w:rsidR="00B07A60" w:rsidRPr="00B07A60">
        <w:rPr>
          <w:rFonts w:eastAsia="Calibri"/>
          <w:bCs/>
        </w:rPr>
        <w:t xml:space="preserve">from the ceramic material </w:t>
      </w:r>
      <w:r w:rsidRPr="00FD783B">
        <w:rPr>
          <w:rFonts w:eastAsia="Calibri"/>
          <w:bCs/>
        </w:rPr>
        <w:t xml:space="preserve">was determined following the standard </w:t>
      </w:r>
      <w:bookmarkStart w:id="68" w:name="OLE_LINK33"/>
      <w:r w:rsidRPr="00FD783B">
        <w:rPr>
          <w:rFonts w:eastAsia="Calibri"/>
          <w:bCs/>
        </w:rPr>
        <w:t>procedure (</w:t>
      </w:r>
      <w:bookmarkStart w:id="69" w:name="OLE_LINK74"/>
      <w:r w:rsidRPr="00FD783B">
        <w:t>TCLP</w:t>
      </w:r>
      <w:bookmarkEnd w:id="68"/>
      <w:r w:rsidRPr="00FD783B">
        <w:t xml:space="preserve"> 1311</w:t>
      </w:r>
      <w:bookmarkEnd w:id="69"/>
      <w:r w:rsidRPr="00FD783B">
        <w:t xml:space="preserve">) of US EPA, for which the crushed specimens (&lt;9.5 mm) were immersed in the extraction </w:t>
      </w:r>
      <w:r w:rsidR="0024173C" w:rsidRPr="00FD783B">
        <w:t>liquid</w:t>
      </w:r>
      <w:r w:rsidRPr="00FD783B">
        <w:t xml:space="preserve"> of acetic acid (pH = 2.9) for 18 h, and the ratio of the extraction </w:t>
      </w:r>
      <w:r w:rsidR="0024173C" w:rsidRPr="00FD783B">
        <w:t xml:space="preserve">liquid </w:t>
      </w:r>
      <w:r w:rsidRPr="00FD783B">
        <w:t xml:space="preserve">to the dry solid sample was 20 mL/g </w:t>
      </w:r>
      <w:r w:rsidRPr="00FD783B">
        <w:rPr>
          <w:noProof/>
        </w:rPr>
        <w:t>(EPA, 1992)</w:t>
      </w:r>
      <w:r w:rsidRPr="00FD783B">
        <w:t xml:space="preserve">. Moreover, the leaching tests were carried out continuously for 64 days </w:t>
      </w:r>
      <w:r w:rsidR="0024173C" w:rsidRPr="00FD783B">
        <w:t xml:space="preserve">on the sintered tiles </w:t>
      </w:r>
      <w:r w:rsidRPr="00FD783B">
        <w:t xml:space="preserve">in a nitric acid solution (pH = 4.0), which </w:t>
      </w:r>
      <w:r w:rsidR="00B07A60" w:rsidRPr="00B07A60">
        <w:t xml:space="preserve">is required for the construction applications and has been </w:t>
      </w:r>
      <w:r w:rsidRPr="00FD783B">
        <w:t>wi</w:t>
      </w:r>
      <w:r w:rsidR="0024173C" w:rsidRPr="00FD783B">
        <w:t>de</w:t>
      </w:r>
      <w:r w:rsidRPr="00FD783B">
        <w:t xml:space="preserve">ly conducted as </w:t>
      </w:r>
      <w:bookmarkStart w:id="70" w:name="OLE_LINK43"/>
      <w:r w:rsidRPr="00FD783B">
        <w:t xml:space="preserve">the NEN 7345 </w:t>
      </w:r>
      <w:r w:rsidR="0024173C" w:rsidRPr="00FD783B">
        <w:t>S</w:t>
      </w:r>
      <w:r w:rsidRPr="00FD783B">
        <w:t>tandard</w:t>
      </w:r>
      <w:bookmarkEnd w:id="70"/>
      <w:r w:rsidRPr="00FD783B">
        <w:t xml:space="preserve"> in European countries </w:t>
      </w:r>
      <w:r w:rsidRPr="00FD783B">
        <w:rPr>
          <w:noProof/>
        </w:rPr>
        <w:t>(NEN, 1995)</w:t>
      </w:r>
      <w:r w:rsidRPr="00FD783B">
        <w:t xml:space="preserve">. </w:t>
      </w:r>
      <w:bookmarkEnd w:id="67"/>
      <w:r w:rsidRPr="00FD783B">
        <w:t xml:space="preserve">Afterwards, the supernatant was filtered and the concentrations of As, Ba, Cd, Cr, Cu, Ni, Pb, and Zn in the filtrate were quantified </w:t>
      </w:r>
      <w:r w:rsidR="0024173C" w:rsidRPr="00FD783B">
        <w:t>by</w:t>
      </w:r>
      <w:r w:rsidRPr="00FD783B">
        <w:t xml:space="preserve"> the above ICP-OES </w:t>
      </w:r>
      <w:r w:rsidR="0024173C" w:rsidRPr="00FD783B">
        <w:t>measurement</w:t>
      </w:r>
      <w:r w:rsidRPr="00FD783B">
        <w:t>.</w:t>
      </w:r>
    </w:p>
    <w:p w14:paraId="0281BC42" w14:textId="2ED99E56" w:rsidR="000D7881" w:rsidRPr="00FD783B" w:rsidRDefault="000D7881" w:rsidP="00623B10">
      <w:pPr>
        <w:snapToGrid w:val="0"/>
        <w:spacing w:line="480" w:lineRule="auto"/>
        <w:ind w:firstLineChars="200" w:firstLine="480"/>
      </w:pPr>
      <w:r w:rsidRPr="00FD783B">
        <w:lastRenderedPageBreak/>
        <w:t>To comprehend the impact of THS introduced into montmorillonite on the phase transformation during the sintering</w:t>
      </w:r>
      <w:r w:rsidR="00841EC7" w:rsidRPr="00FD783B">
        <w:t xml:space="preserve"> process</w:t>
      </w:r>
      <w:r w:rsidRPr="00FD783B">
        <w:t>, the composition of crystalline minerals was characterized by X-ray diffractometry (XRD, Rigaku Ultima IV, Japan) at a speed of 1.0 °/min with Cu-K</w:t>
      </w:r>
      <w:r w:rsidRPr="00FD783B">
        <w:rPr>
          <w:vertAlign w:val="subscript"/>
        </w:rPr>
        <w:t>α</w:t>
      </w:r>
      <w:r w:rsidRPr="00FD783B">
        <w:t xml:space="preserve"> radiation generated at 40 kV and 50 mA</w:t>
      </w:r>
      <w:r w:rsidR="00841EC7" w:rsidRPr="00FD783B">
        <w:t xml:space="preserve"> </w:t>
      </w:r>
      <w:r w:rsidRPr="00FD783B">
        <w:rPr>
          <w:noProof/>
        </w:rPr>
        <w:t>(Li et al., 2022)</w:t>
      </w:r>
      <w:r w:rsidRPr="00FD783B">
        <w:t xml:space="preserve">. </w:t>
      </w:r>
      <w:bookmarkStart w:id="71" w:name="_Hlk127979757"/>
      <w:r w:rsidRPr="00FD783B">
        <w:t xml:space="preserve">Scanning electron microscopy (SEM, </w:t>
      </w:r>
      <w:r w:rsidRPr="00FD783B">
        <w:rPr>
          <w:rFonts w:eastAsia="等线"/>
          <w:color w:val="000000"/>
        </w:rPr>
        <w:t>Hitachi S-3400N, Japan</w:t>
      </w:r>
      <w:r w:rsidRPr="00FD783B">
        <w:t xml:space="preserve">) </w:t>
      </w:r>
      <w:r w:rsidR="00937420">
        <w:t xml:space="preserve">at 25 kV </w:t>
      </w:r>
      <w:r w:rsidRPr="00FD783B">
        <w:t xml:space="preserve">coupled with an energy dispersive spectroscope (EDS, INCA ENERGY 300) was used to investigate the microstructures and element constituents of the </w:t>
      </w:r>
      <w:r w:rsidR="00841EC7" w:rsidRPr="00FD783B">
        <w:t xml:space="preserve">sintered </w:t>
      </w:r>
      <w:r w:rsidRPr="00FD783B">
        <w:t xml:space="preserve">tiles, </w:t>
      </w:r>
      <w:bookmarkEnd w:id="71"/>
      <w:r w:rsidRPr="00FD783B">
        <w:t xml:space="preserve">for which backscattered electron imaging was applied for </w:t>
      </w:r>
      <w:r w:rsidR="00841EC7" w:rsidRPr="00FD783B">
        <w:t xml:space="preserve">the </w:t>
      </w:r>
      <w:r w:rsidRPr="00FD783B">
        <w:t xml:space="preserve">sample morphology and crystallography, and the tile samples were further etched with 20 wt% HF for 30 s to expose more crystal components </w:t>
      </w:r>
      <w:r w:rsidRPr="00FD783B">
        <w:rPr>
          <w:noProof/>
        </w:rPr>
        <w:t>(Luo et al., 2021)</w:t>
      </w:r>
      <w:r w:rsidRPr="00FD783B">
        <w:t>.</w:t>
      </w:r>
    </w:p>
    <w:p w14:paraId="461FE134" w14:textId="77777777" w:rsidR="000D7881" w:rsidRPr="00FD783B" w:rsidRDefault="000D7881" w:rsidP="00623B10">
      <w:pPr>
        <w:snapToGrid w:val="0"/>
        <w:spacing w:line="480" w:lineRule="auto"/>
      </w:pPr>
    </w:p>
    <w:p w14:paraId="500F6EB2" w14:textId="77777777" w:rsidR="000D7881" w:rsidRPr="00FD783B" w:rsidRDefault="000D7881" w:rsidP="00623B10">
      <w:pPr>
        <w:pStyle w:val="1"/>
        <w:snapToGrid w:val="0"/>
      </w:pPr>
      <w:r w:rsidRPr="00FD783B">
        <w:t>3. Results and Discussion</w:t>
      </w:r>
    </w:p>
    <w:p w14:paraId="7B16753B" w14:textId="77777777" w:rsidR="000D7881" w:rsidRPr="00FD783B" w:rsidRDefault="000D7881" w:rsidP="00623B10">
      <w:pPr>
        <w:pStyle w:val="2"/>
        <w:snapToGrid w:val="0"/>
      </w:pPr>
      <w:r w:rsidRPr="00FD783B">
        <w:t xml:space="preserve">3.1 Characterization of the </w:t>
      </w:r>
      <w:bookmarkStart w:id="72" w:name="OLE_LINK52"/>
      <w:r w:rsidRPr="00FD783B">
        <w:t>powder materials</w:t>
      </w:r>
      <w:bookmarkEnd w:id="72"/>
    </w:p>
    <w:p w14:paraId="6D5E0279" w14:textId="23D53CCA" w:rsidR="00884F5F" w:rsidRPr="00FD783B" w:rsidRDefault="0034500F" w:rsidP="00623B10">
      <w:pPr>
        <w:snapToGrid w:val="0"/>
        <w:spacing w:line="480" w:lineRule="auto"/>
        <w:ind w:firstLineChars="200" w:firstLine="480"/>
      </w:pPr>
      <w:r w:rsidRPr="00FD783B">
        <w:t xml:space="preserve">Upon the </w:t>
      </w:r>
      <w:r w:rsidR="000D7881" w:rsidRPr="00FD783B">
        <w:t>TH</w:t>
      </w:r>
      <w:r w:rsidRPr="00FD783B">
        <w:t xml:space="preserve"> treatment</w:t>
      </w:r>
      <w:r w:rsidR="000D7881" w:rsidRPr="00FD783B">
        <w:t xml:space="preserve">, the total volatile content in </w:t>
      </w:r>
      <w:r w:rsidRPr="00FD783B">
        <w:t xml:space="preserve">sludge </w:t>
      </w:r>
      <w:r w:rsidR="000D7881" w:rsidRPr="00FD783B">
        <w:t>decreased from 83.7% to 74.8%</w:t>
      </w:r>
      <w:r w:rsidRPr="00FD783B">
        <w:t xml:space="preserve"> </w:t>
      </w:r>
      <w:r w:rsidR="000D7881" w:rsidRPr="00FD783B">
        <w:t xml:space="preserve">(Table 1). </w:t>
      </w:r>
      <w:r w:rsidRPr="00FD783B">
        <w:t>Meanwhile,</w:t>
      </w:r>
      <w:r w:rsidR="000D7881" w:rsidRPr="00FD783B">
        <w:t xml:space="preserve"> the ratio of </w:t>
      </w:r>
      <w:r w:rsidRPr="00FD783B">
        <w:t xml:space="preserve">soluble organics, i.e., liquid-phase </w:t>
      </w:r>
      <w:r w:rsidR="000D7881" w:rsidRPr="00FD783B">
        <w:t>COD/TCOD</w:t>
      </w:r>
      <w:r w:rsidRPr="00FD783B">
        <w:t>,</w:t>
      </w:r>
      <w:r w:rsidR="000D7881" w:rsidRPr="00FD783B">
        <w:t xml:space="preserve"> increased from 5.2% to 53.6%</w:t>
      </w:r>
      <w:r w:rsidRPr="00FD783B">
        <w:t xml:space="preserve">. As expected, a large portion of the organics was dissolved and transformed </w:t>
      </w:r>
      <w:r w:rsidR="00884F5F" w:rsidRPr="00FD783B">
        <w:t xml:space="preserve">during the TH process </w:t>
      </w:r>
      <w:r w:rsidRPr="00FD783B">
        <w:t xml:space="preserve">from the solid form in </w:t>
      </w:r>
      <w:r w:rsidR="00884F5F" w:rsidRPr="00FD783B">
        <w:t>the waste</w:t>
      </w:r>
      <w:r w:rsidR="00D13CFD" w:rsidRPr="00FD783B">
        <w:t>water</w:t>
      </w:r>
      <w:r w:rsidR="00884F5F" w:rsidRPr="00FD783B">
        <w:t xml:space="preserve"> </w:t>
      </w:r>
      <w:r w:rsidRPr="00FD783B">
        <w:t xml:space="preserve">sludge to the soluble organics in the supernatant. </w:t>
      </w:r>
      <w:bookmarkStart w:id="73" w:name="_Hlk125040343"/>
      <w:r w:rsidR="00884F5F" w:rsidRPr="00FD783B">
        <w:t xml:space="preserve">The rich organic content in the sludge liquor is highly biodegradable that can be readily converted to biogas via anaerobic digestion for energy production </w:t>
      </w:r>
      <w:r w:rsidR="00A5320F" w:rsidRPr="00FD783B">
        <w:t>(Kor-</w:t>
      </w:r>
      <w:proofErr w:type="spellStart"/>
      <w:r w:rsidR="00A5320F" w:rsidRPr="00FD783B">
        <w:t>Bicakci</w:t>
      </w:r>
      <w:proofErr w:type="spellEnd"/>
      <w:r w:rsidR="00A5320F" w:rsidRPr="00FD783B">
        <w:t xml:space="preserve"> and </w:t>
      </w:r>
      <w:proofErr w:type="spellStart"/>
      <w:r w:rsidR="00A5320F" w:rsidRPr="00FD783B">
        <w:t>Eskicioglu</w:t>
      </w:r>
      <w:proofErr w:type="spellEnd"/>
      <w:r w:rsidR="00A5320F" w:rsidRPr="00FD783B">
        <w:t>, 2019)</w:t>
      </w:r>
      <w:r w:rsidR="00BF5811" w:rsidRPr="00FD783B">
        <w:t xml:space="preserve"> </w:t>
      </w:r>
      <w:r w:rsidR="00884F5F" w:rsidRPr="00FD783B">
        <w:t xml:space="preserve">or to volatile fatty acids via acidogenic fermentation for organic </w:t>
      </w:r>
      <w:r w:rsidR="00B976D6" w:rsidRPr="00FD783B">
        <w:t>utilization</w:t>
      </w:r>
      <w:r w:rsidR="00884F5F" w:rsidRPr="00FD783B">
        <w:t xml:space="preserve"> </w:t>
      </w:r>
      <w:r w:rsidR="00A5320F" w:rsidRPr="00FD783B">
        <w:t>(Wen et al., 2022)</w:t>
      </w:r>
      <w:r w:rsidR="00BF5811" w:rsidRPr="00FD783B">
        <w:t xml:space="preserve"> </w:t>
      </w:r>
      <w:r w:rsidR="000D7881" w:rsidRPr="00FD783B">
        <w:t>(Fig. S1).</w:t>
      </w:r>
      <w:bookmarkEnd w:id="73"/>
      <w:r w:rsidR="000D7881" w:rsidRPr="00FD783B">
        <w:t xml:space="preserve"> </w:t>
      </w:r>
      <w:bookmarkStart w:id="74" w:name="_Hlk125040848"/>
      <w:r w:rsidR="00B976D6" w:rsidRPr="00FD783B">
        <w:t xml:space="preserve">Thus, in addition to </w:t>
      </w:r>
      <w:r w:rsidR="000D7881" w:rsidRPr="00FD783B">
        <w:t xml:space="preserve">the </w:t>
      </w:r>
      <w:r w:rsidR="00884F5F" w:rsidRPr="00FD783B">
        <w:t xml:space="preserve">significant </w:t>
      </w:r>
      <w:r w:rsidR="000D7881" w:rsidRPr="00FD783B">
        <w:t xml:space="preserve">improvement in sludge dewaterability, the </w:t>
      </w:r>
      <w:r w:rsidR="00B976D6" w:rsidRPr="00FD783B">
        <w:t>prior TH treatment can effectively facilitate the recovery of organic and nutrient resources from the waste</w:t>
      </w:r>
      <w:r w:rsidR="00CC5CB8" w:rsidRPr="00FD783B">
        <w:t>water</w:t>
      </w:r>
      <w:r w:rsidR="00B976D6" w:rsidRPr="00FD783B">
        <w:t xml:space="preserve"> sludge before its final disposal</w:t>
      </w:r>
      <w:r w:rsidR="00D549A9" w:rsidRPr="00FD783B">
        <w:t xml:space="preserve"> </w:t>
      </w:r>
      <w:r w:rsidR="005611C2" w:rsidRPr="005611C2">
        <w:t>(Barber, 2016)</w:t>
      </w:r>
      <w:r w:rsidR="00B976D6" w:rsidRPr="00FD783B">
        <w:t xml:space="preserve">. </w:t>
      </w:r>
    </w:p>
    <w:bookmarkEnd w:id="74"/>
    <w:p w14:paraId="0B150A76" w14:textId="4E15F605" w:rsidR="000909E6" w:rsidRPr="00FD783B" w:rsidRDefault="000909E6" w:rsidP="000909E6">
      <w:pPr>
        <w:snapToGrid w:val="0"/>
        <w:spacing w:line="480" w:lineRule="auto"/>
      </w:pPr>
    </w:p>
    <w:p w14:paraId="3B8C0225" w14:textId="5B2ED2A7" w:rsidR="00CA2EEE" w:rsidRPr="00FD783B" w:rsidRDefault="00CA2EEE" w:rsidP="000909E6">
      <w:pPr>
        <w:snapToGrid w:val="0"/>
        <w:spacing w:line="480" w:lineRule="auto"/>
      </w:pPr>
    </w:p>
    <w:p w14:paraId="2E542FAE" w14:textId="77777777" w:rsidR="00CA2EEE" w:rsidRPr="00FD783B" w:rsidRDefault="00CA2EEE" w:rsidP="000909E6">
      <w:pPr>
        <w:snapToGrid w:val="0"/>
        <w:spacing w:line="480" w:lineRule="auto"/>
      </w:pPr>
    </w:p>
    <w:p w14:paraId="413F05FE" w14:textId="77777777" w:rsidR="000909E6" w:rsidRPr="00FD783B" w:rsidRDefault="000909E6" w:rsidP="00842A4D">
      <w:pPr>
        <w:pStyle w:val="ac"/>
        <w:snapToGrid w:val="0"/>
        <w:outlineLvl w:val="2"/>
      </w:pPr>
      <w:r w:rsidRPr="00FD783B">
        <w:t xml:space="preserve">Table 1. Chemical composition analysis (wt%) of RS, THS, and montmorillonite. </w:t>
      </w:r>
    </w:p>
    <w:tbl>
      <w:tblPr>
        <w:tblW w:w="5000" w:type="pct"/>
        <w:tblLook w:val="04A0" w:firstRow="1" w:lastRow="0" w:firstColumn="1" w:lastColumn="0" w:noHBand="0" w:noVBand="1"/>
      </w:tblPr>
      <w:tblGrid>
        <w:gridCol w:w="2200"/>
        <w:gridCol w:w="818"/>
        <w:gridCol w:w="964"/>
        <w:gridCol w:w="964"/>
        <w:gridCol w:w="834"/>
        <w:gridCol w:w="802"/>
        <w:gridCol w:w="883"/>
        <w:gridCol w:w="785"/>
        <w:gridCol w:w="776"/>
      </w:tblGrid>
      <w:tr w:rsidR="000909E6" w:rsidRPr="00FD783B" w14:paraId="2DF08A42" w14:textId="77777777" w:rsidTr="00842A4D">
        <w:trPr>
          <w:trHeight w:val="384"/>
        </w:trPr>
        <w:tc>
          <w:tcPr>
            <w:tcW w:w="1219" w:type="pct"/>
            <w:tcBorders>
              <w:top w:val="single" w:sz="12" w:space="0" w:color="auto"/>
              <w:left w:val="nil"/>
              <w:bottom w:val="single" w:sz="12" w:space="0" w:color="auto"/>
              <w:right w:val="nil"/>
            </w:tcBorders>
            <w:shd w:val="clear" w:color="auto" w:fill="auto"/>
            <w:vAlign w:val="center"/>
            <w:hideMark/>
          </w:tcPr>
          <w:p w14:paraId="34D5EC76"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Sample</w:t>
            </w:r>
          </w:p>
        </w:tc>
        <w:tc>
          <w:tcPr>
            <w:tcW w:w="453" w:type="pct"/>
            <w:tcBorders>
              <w:top w:val="single" w:sz="12" w:space="0" w:color="auto"/>
              <w:left w:val="nil"/>
              <w:bottom w:val="single" w:sz="12" w:space="0" w:color="auto"/>
              <w:right w:val="nil"/>
            </w:tcBorders>
            <w:shd w:val="clear" w:color="auto" w:fill="auto"/>
            <w:vAlign w:val="center"/>
            <w:hideMark/>
          </w:tcPr>
          <w:p w14:paraId="0DDD374C"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SiO</w:t>
            </w:r>
            <w:r w:rsidRPr="00FD783B">
              <w:rPr>
                <w:rFonts w:eastAsia="Times New Roman"/>
                <w:color w:val="000000"/>
                <w:kern w:val="0"/>
                <w:vertAlign w:val="subscript"/>
              </w:rPr>
              <w:t>2</w:t>
            </w:r>
          </w:p>
        </w:tc>
        <w:tc>
          <w:tcPr>
            <w:tcW w:w="534" w:type="pct"/>
            <w:tcBorders>
              <w:top w:val="single" w:sz="12" w:space="0" w:color="auto"/>
              <w:left w:val="nil"/>
              <w:bottom w:val="single" w:sz="12" w:space="0" w:color="auto"/>
              <w:right w:val="nil"/>
            </w:tcBorders>
            <w:shd w:val="clear" w:color="auto" w:fill="auto"/>
            <w:vAlign w:val="center"/>
            <w:hideMark/>
          </w:tcPr>
          <w:p w14:paraId="7A9F1C92"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Al</w:t>
            </w:r>
            <w:r w:rsidRPr="00FD783B">
              <w:rPr>
                <w:rFonts w:eastAsia="Times New Roman"/>
                <w:color w:val="000000"/>
                <w:kern w:val="0"/>
                <w:vertAlign w:val="subscript"/>
              </w:rPr>
              <w:t>2</w:t>
            </w:r>
            <w:r w:rsidRPr="00FD783B">
              <w:rPr>
                <w:rFonts w:eastAsia="Times New Roman"/>
                <w:color w:val="000000"/>
                <w:kern w:val="0"/>
              </w:rPr>
              <w:t>O</w:t>
            </w:r>
            <w:r w:rsidRPr="00FD783B">
              <w:rPr>
                <w:rFonts w:eastAsia="Times New Roman"/>
                <w:color w:val="000000"/>
                <w:kern w:val="0"/>
                <w:vertAlign w:val="subscript"/>
              </w:rPr>
              <w:t>3</w:t>
            </w:r>
          </w:p>
        </w:tc>
        <w:tc>
          <w:tcPr>
            <w:tcW w:w="534" w:type="pct"/>
            <w:tcBorders>
              <w:top w:val="single" w:sz="12" w:space="0" w:color="auto"/>
              <w:left w:val="nil"/>
              <w:bottom w:val="single" w:sz="12" w:space="0" w:color="auto"/>
              <w:right w:val="nil"/>
            </w:tcBorders>
            <w:shd w:val="clear" w:color="auto" w:fill="auto"/>
            <w:vAlign w:val="center"/>
            <w:hideMark/>
          </w:tcPr>
          <w:p w14:paraId="4518158F"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Fe</w:t>
            </w:r>
            <w:r w:rsidRPr="00FD783B">
              <w:rPr>
                <w:rFonts w:eastAsia="Times New Roman"/>
                <w:color w:val="000000"/>
                <w:kern w:val="0"/>
                <w:vertAlign w:val="subscript"/>
              </w:rPr>
              <w:t>2</w:t>
            </w:r>
            <w:r w:rsidRPr="00FD783B">
              <w:rPr>
                <w:rFonts w:eastAsia="Times New Roman"/>
                <w:color w:val="000000"/>
                <w:kern w:val="0"/>
              </w:rPr>
              <w:t>O</w:t>
            </w:r>
            <w:r w:rsidRPr="00FD783B">
              <w:rPr>
                <w:rFonts w:eastAsia="Times New Roman"/>
                <w:color w:val="000000"/>
                <w:kern w:val="0"/>
                <w:vertAlign w:val="subscript"/>
              </w:rPr>
              <w:t>3</w:t>
            </w:r>
          </w:p>
        </w:tc>
        <w:tc>
          <w:tcPr>
            <w:tcW w:w="462" w:type="pct"/>
            <w:tcBorders>
              <w:top w:val="single" w:sz="12" w:space="0" w:color="auto"/>
              <w:left w:val="nil"/>
              <w:bottom w:val="single" w:sz="12" w:space="0" w:color="auto"/>
              <w:right w:val="nil"/>
            </w:tcBorders>
            <w:shd w:val="clear" w:color="auto" w:fill="auto"/>
            <w:vAlign w:val="center"/>
            <w:hideMark/>
          </w:tcPr>
          <w:p w14:paraId="47FFE6FD"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P</w:t>
            </w:r>
            <w:r w:rsidRPr="00FD783B">
              <w:rPr>
                <w:rFonts w:eastAsia="Times New Roman"/>
                <w:color w:val="000000"/>
                <w:kern w:val="0"/>
                <w:vertAlign w:val="subscript"/>
              </w:rPr>
              <w:t>2</w:t>
            </w:r>
            <w:r w:rsidRPr="00FD783B">
              <w:rPr>
                <w:rFonts w:eastAsia="Times New Roman"/>
                <w:color w:val="000000"/>
                <w:kern w:val="0"/>
              </w:rPr>
              <w:t>O</w:t>
            </w:r>
            <w:r w:rsidRPr="00FD783B">
              <w:rPr>
                <w:rFonts w:eastAsia="Times New Roman"/>
                <w:color w:val="000000"/>
                <w:kern w:val="0"/>
                <w:vertAlign w:val="subscript"/>
              </w:rPr>
              <w:t>5</w:t>
            </w:r>
          </w:p>
        </w:tc>
        <w:tc>
          <w:tcPr>
            <w:tcW w:w="444" w:type="pct"/>
            <w:tcBorders>
              <w:top w:val="single" w:sz="12" w:space="0" w:color="auto"/>
              <w:left w:val="nil"/>
              <w:bottom w:val="single" w:sz="12" w:space="0" w:color="auto"/>
              <w:right w:val="nil"/>
            </w:tcBorders>
            <w:shd w:val="clear" w:color="auto" w:fill="auto"/>
            <w:vAlign w:val="center"/>
            <w:hideMark/>
          </w:tcPr>
          <w:p w14:paraId="3F4D6229"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CaO</w:t>
            </w:r>
          </w:p>
        </w:tc>
        <w:tc>
          <w:tcPr>
            <w:tcW w:w="489" w:type="pct"/>
            <w:tcBorders>
              <w:top w:val="single" w:sz="12" w:space="0" w:color="auto"/>
              <w:left w:val="nil"/>
              <w:bottom w:val="single" w:sz="12" w:space="0" w:color="auto"/>
              <w:right w:val="nil"/>
            </w:tcBorders>
            <w:shd w:val="clear" w:color="auto" w:fill="auto"/>
            <w:vAlign w:val="center"/>
            <w:hideMark/>
          </w:tcPr>
          <w:p w14:paraId="16BB881A"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MgO</w:t>
            </w:r>
          </w:p>
        </w:tc>
        <w:tc>
          <w:tcPr>
            <w:tcW w:w="435" w:type="pct"/>
            <w:tcBorders>
              <w:top w:val="single" w:sz="12" w:space="0" w:color="auto"/>
              <w:left w:val="nil"/>
              <w:bottom w:val="single" w:sz="12" w:space="0" w:color="auto"/>
              <w:right w:val="nil"/>
            </w:tcBorders>
            <w:shd w:val="clear" w:color="auto" w:fill="auto"/>
            <w:vAlign w:val="center"/>
            <w:hideMark/>
          </w:tcPr>
          <w:p w14:paraId="336112AE"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K</w:t>
            </w:r>
            <w:r w:rsidRPr="00FD783B">
              <w:rPr>
                <w:rFonts w:eastAsia="Times New Roman"/>
                <w:color w:val="000000"/>
                <w:kern w:val="0"/>
                <w:vertAlign w:val="subscript"/>
              </w:rPr>
              <w:t>2</w:t>
            </w:r>
            <w:r w:rsidRPr="00FD783B">
              <w:rPr>
                <w:rFonts w:eastAsia="Times New Roman"/>
                <w:color w:val="000000"/>
                <w:kern w:val="0"/>
              </w:rPr>
              <w:t>O</w:t>
            </w:r>
          </w:p>
        </w:tc>
        <w:tc>
          <w:tcPr>
            <w:tcW w:w="430" w:type="pct"/>
            <w:tcBorders>
              <w:top w:val="single" w:sz="12" w:space="0" w:color="auto"/>
              <w:left w:val="nil"/>
              <w:bottom w:val="single" w:sz="12" w:space="0" w:color="auto"/>
              <w:right w:val="nil"/>
            </w:tcBorders>
            <w:shd w:val="clear" w:color="auto" w:fill="auto"/>
            <w:vAlign w:val="center"/>
            <w:hideMark/>
          </w:tcPr>
          <w:p w14:paraId="2E1670C2"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LOI</w:t>
            </w:r>
          </w:p>
        </w:tc>
      </w:tr>
      <w:tr w:rsidR="000909E6" w:rsidRPr="00FD783B" w14:paraId="4D58C367" w14:textId="77777777" w:rsidTr="00842A4D">
        <w:trPr>
          <w:trHeight w:val="324"/>
        </w:trPr>
        <w:tc>
          <w:tcPr>
            <w:tcW w:w="1219" w:type="pct"/>
            <w:tcBorders>
              <w:top w:val="single" w:sz="12" w:space="0" w:color="auto"/>
              <w:left w:val="nil"/>
              <w:bottom w:val="nil"/>
              <w:right w:val="nil"/>
            </w:tcBorders>
            <w:shd w:val="clear" w:color="auto" w:fill="auto"/>
            <w:vAlign w:val="center"/>
            <w:hideMark/>
          </w:tcPr>
          <w:p w14:paraId="7FF4E043"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RS</w:t>
            </w:r>
          </w:p>
        </w:tc>
        <w:tc>
          <w:tcPr>
            <w:tcW w:w="453" w:type="pct"/>
            <w:tcBorders>
              <w:top w:val="single" w:sz="12" w:space="0" w:color="auto"/>
              <w:left w:val="nil"/>
              <w:bottom w:val="nil"/>
              <w:right w:val="nil"/>
            </w:tcBorders>
            <w:shd w:val="clear" w:color="auto" w:fill="auto"/>
            <w:vAlign w:val="center"/>
            <w:hideMark/>
          </w:tcPr>
          <w:p w14:paraId="704C65D2"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4.4</w:t>
            </w:r>
          </w:p>
        </w:tc>
        <w:tc>
          <w:tcPr>
            <w:tcW w:w="534" w:type="pct"/>
            <w:tcBorders>
              <w:top w:val="single" w:sz="12" w:space="0" w:color="auto"/>
              <w:left w:val="nil"/>
              <w:bottom w:val="nil"/>
              <w:right w:val="nil"/>
            </w:tcBorders>
            <w:shd w:val="clear" w:color="auto" w:fill="auto"/>
            <w:vAlign w:val="center"/>
            <w:hideMark/>
          </w:tcPr>
          <w:p w14:paraId="3DEB1051"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2.0</w:t>
            </w:r>
          </w:p>
        </w:tc>
        <w:tc>
          <w:tcPr>
            <w:tcW w:w="534" w:type="pct"/>
            <w:tcBorders>
              <w:top w:val="single" w:sz="12" w:space="0" w:color="auto"/>
              <w:left w:val="nil"/>
              <w:bottom w:val="nil"/>
              <w:right w:val="nil"/>
            </w:tcBorders>
            <w:shd w:val="clear" w:color="auto" w:fill="auto"/>
            <w:vAlign w:val="center"/>
            <w:hideMark/>
          </w:tcPr>
          <w:p w14:paraId="7DDDC3F8"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2.9</w:t>
            </w:r>
          </w:p>
        </w:tc>
        <w:tc>
          <w:tcPr>
            <w:tcW w:w="462" w:type="pct"/>
            <w:tcBorders>
              <w:top w:val="single" w:sz="12" w:space="0" w:color="auto"/>
              <w:left w:val="nil"/>
              <w:bottom w:val="nil"/>
              <w:right w:val="nil"/>
            </w:tcBorders>
            <w:shd w:val="clear" w:color="auto" w:fill="auto"/>
            <w:vAlign w:val="center"/>
            <w:hideMark/>
          </w:tcPr>
          <w:p w14:paraId="3FB40B69"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4.6</w:t>
            </w:r>
          </w:p>
        </w:tc>
        <w:tc>
          <w:tcPr>
            <w:tcW w:w="444" w:type="pct"/>
            <w:tcBorders>
              <w:top w:val="single" w:sz="12" w:space="0" w:color="auto"/>
              <w:left w:val="nil"/>
              <w:bottom w:val="nil"/>
              <w:right w:val="nil"/>
            </w:tcBorders>
            <w:shd w:val="clear" w:color="auto" w:fill="auto"/>
            <w:vAlign w:val="center"/>
            <w:hideMark/>
          </w:tcPr>
          <w:p w14:paraId="7926A0F8"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1.4</w:t>
            </w:r>
          </w:p>
        </w:tc>
        <w:tc>
          <w:tcPr>
            <w:tcW w:w="489" w:type="pct"/>
            <w:tcBorders>
              <w:top w:val="single" w:sz="12" w:space="0" w:color="auto"/>
              <w:left w:val="nil"/>
              <w:bottom w:val="nil"/>
              <w:right w:val="nil"/>
            </w:tcBorders>
            <w:shd w:val="clear" w:color="auto" w:fill="auto"/>
            <w:vAlign w:val="center"/>
            <w:hideMark/>
          </w:tcPr>
          <w:p w14:paraId="59FA4486"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0.6</w:t>
            </w:r>
          </w:p>
        </w:tc>
        <w:tc>
          <w:tcPr>
            <w:tcW w:w="435" w:type="pct"/>
            <w:tcBorders>
              <w:top w:val="single" w:sz="12" w:space="0" w:color="auto"/>
              <w:left w:val="nil"/>
              <w:bottom w:val="nil"/>
              <w:right w:val="nil"/>
            </w:tcBorders>
            <w:shd w:val="clear" w:color="auto" w:fill="auto"/>
            <w:vAlign w:val="center"/>
            <w:hideMark/>
          </w:tcPr>
          <w:p w14:paraId="7123C163"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0.4</w:t>
            </w:r>
          </w:p>
        </w:tc>
        <w:tc>
          <w:tcPr>
            <w:tcW w:w="430" w:type="pct"/>
            <w:tcBorders>
              <w:top w:val="single" w:sz="12" w:space="0" w:color="auto"/>
              <w:left w:val="nil"/>
              <w:bottom w:val="nil"/>
              <w:right w:val="nil"/>
            </w:tcBorders>
            <w:shd w:val="clear" w:color="auto" w:fill="auto"/>
            <w:vAlign w:val="center"/>
            <w:hideMark/>
          </w:tcPr>
          <w:p w14:paraId="03BEE4B6"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83.7</w:t>
            </w:r>
          </w:p>
        </w:tc>
      </w:tr>
      <w:tr w:rsidR="000909E6" w:rsidRPr="00FD783B" w14:paraId="482F9D7F" w14:textId="77777777" w:rsidTr="00842A4D">
        <w:trPr>
          <w:trHeight w:val="312"/>
        </w:trPr>
        <w:tc>
          <w:tcPr>
            <w:tcW w:w="1219" w:type="pct"/>
            <w:tcBorders>
              <w:top w:val="nil"/>
              <w:left w:val="nil"/>
              <w:bottom w:val="nil"/>
              <w:right w:val="nil"/>
            </w:tcBorders>
            <w:shd w:val="clear" w:color="auto" w:fill="auto"/>
            <w:vAlign w:val="center"/>
            <w:hideMark/>
          </w:tcPr>
          <w:p w14:paraId="614D237A"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THS</w:t>
            </w:r>
          </w:p>
        </w:tc>
        <w:tc>
          <w:tcPr>
            <w:tcW w:w="453" w:type="pct"/>
            <w:tcBorders>
              <w:top w:val="nil"/>
              <w:left w:val="nil"/>
              <w:bottom w:val="nil"/>
              <w:right w:val="nil"/>
            </w:tcBorders>
            <w:shd w:val="clear" w:color="auto" w:fill="auto"/>
            <w:vAlign w:val="center"/>
            <w:hideMark/>
          </w:tcPr>
          <w:p w14:paraId="6756F016"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6.8</w:t>
            </w:r>
          </w:p>
        </w:tc>
        <w:tc>
          <w:tcPr>
            <w:tcW w:w="534" w:type="pct"/>
            <w:tcBorders>
              <w:top w:val="nil"/>
              <w:left w:val="nil"/>
              <w:bottom w:val="nil"/>
              <w:right w:val="nil"/>
            </w:tcBorders>
            <w:shd w:val="clear" w:color="auto" w:fill="auto"/>
            <w:vAlign w:val="center"/>
            <w:hideMark/>
          </w:tcPr>
          <w:p w14:paraId="0D4563FF"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3.0</w:t>
            </w:r>
          </w:p>
        </w:tc>
        <w:tc>
          <w:tcPr>
            <w:tcW w:w="534" w:type="pct"/>
            <w:tcBorders>
              <w:top w:val="nil"/>
              <w:left w:val="nil"/>
              <w:bottom w:val="nil"/>
              <w:right w:val="nil"/>
            </w:tcBorders>
            <w:shd w:val="clear" w:color="auto" w:fill="auto"/>
            <w:vAlign w:val="center"/>
            <w:hideMark/>
          </w:tcPr>
          <w:p w14:paraId="3A19E59C"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4.5</w:t>
            </w:r>
          </w:p>
        </w:tc>
        <w:tc>
          <w:tcPr>
            <w:tcW w:w="462" w:type="pct"/>
            <w:tcBorders>
              <w:top w:val="nil"/>
              <w:left w:val="nil"/>
              <w:bottom w:val="nil"/>
              <w:right w:val="nil"/>
            </w:tcBorders>
            <w:shd w:val="clear" w:color="auto" w:fill="auto"/>
            <w:vAlign w:val="center"/>
            <w:hideMark/>
          </w:tcPr>
          <w:p w14:paraId="0E8A5F73"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7.1</w:t>
            </w:r>
          </w:p>
        </w:tc>
        <w:tc>
          <w:tcPr>
            <w:tcW w:w="444" w:type="pct"/>
            <w:tcBorders>
              <w:top w:val="nil"/>
              <w:left w:val="nil"/>
              <w:bottom w:val="nil"/>
              <w:right w:val="nil"/>
            </w:tcBorders>
            <w:shd w:val="clear" w:color="auto" w:fill="auto"/>
            <w:vAlign w:val="center"/>
            <w:hideMark/>
          </w:tcPr>
          <w:p w14:paraId="6D7C8715"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2.2</w:t>
            </w:r>
          </w:p>
        </w:tc>
        <w:tc>
          <w:tcPr>
            <w:tcW w:w="489" w:type="pct"/>
            <w:tcBorders>
              <w:top w:val="nil"/>
              <w:left w:val="nil"/>
              <w:bottom w:val="nil"/>
              <w:right w:val="nil"/>
            </w:tcBorders>
            <w:shd w:val="clear" w:color="auto" w:fill="auto"/>
            <w:vAlign w:val="center"/>
            <w:hideMark/>
          </w:tcPr>
          <w:p w14:paraId="5D571555"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0.9</w:t>
            </w:r>
          </w:p>
        </w:tc>
        <w:tc>
          <w:tcPr>
            <w:tcW w:w="435" w:type="pct"/>
            <w:tcBorders>
              <w:top w:val="nil"/>
              <w:left w:val="nil"/>
              <w:bottom w:val="nil"/>
              <w:right w:val="nil"/>
            </w:tcBorders>
            <w:shd w:val="clear" w:color="auto" w:fill="auto"/>
            <w:vAlign w:val="center"/>
            <w:hideMark/>
          </w:tcPr>
          <w:p w14:paraId="70DA3C83"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0.7</w:t>
            </w:r>
          </w:p>
        </w:tc>
        <w:tc>
          <w:tcPr>
            <w:tcW w:w="430" w:type="pct"/>
            <w:tcBorders>
              <w:top w:val="nil"/>
              <w:left w:val="nil"/>
              <w:bottom w:val="nil"/>
              <w:right w:val="nil"/>
            </w:tcBorders>
            <w:shd w:val="clear" w:color="auto" w:fill="auto"/>
            <w:vAlign w:val="center"/>
            <w:hideMark/>
          </w:tcPr>
          <w:p w14:paraId="7F50573C" w14:textId="77777777" w:rsidR="000909E6" w:rsidRPr="00FD783B" w:rsidRDefault="000909E6" w:rsidP="00842A4D">
            <w:pPr>
              <w:widowControl/>
              <w:snapToGrid w:val="0"/>
              <w:spacing w:line="360" w:lineRule="auto"/>
              <w:jc w:val="left"/>
              <w:rPr>
                <w:rFonts w:eastAsia="Times New Roman"/>
                <w:color w:val="000000"/>
                <w:kern w:val="0"/>
              </w:rPr>
            </w:pPr>
            <w:r w:rsidRPr="00FD783B">
              <w:rPr>
                <w:rFonts w:eastAsia="Times New Roman"/>
                <w:color w:val="000000"/>
                <w:kern w:val="0"/>
              </w:rPr>
              <w:t>74.8</w:t>
            </w:r>
          </w:p>
        </w:tc>
      </w:tr>
      <w:tr w:rsidR="000909E6" w:rsidRPr="00FD783B" w14:paraId="55BAD100" w14:textId="77777777" w:rsidTr="00842A4D">
        <w:trPr>
          <w:trHeight w:val="312"/>
        </w:trPr>
        <w:tc>
          <w:tcPr>
            <w:tcW w:w="1219" w:type="pct"/>
            <w:tcBorders>
              <w:top w:val="nil"/>
              <w:left w:val="nil"/>
              <w:bottom w:val="single" w:sz="12" w:space="0" w:color="auto"/>
              <w:right w:val="nil"/>
            </w:tcBorders>
            <w:shd w:val="clear" w:color="auto" w:fill="auto"/>
            <w:vAlign w:val="center"/>
          </w:tcPr>
          <w:p w14:paraId="65B9DEFC"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Montmorillonite</w:t>
            </w:r>
          </w:p>
        </w:tc>
        <w:tc>
          <w:tcPr>
            <w:tcW w:w="453" w:type="pct"/>
            <w:tcBorders>
              <w:top w:val="nil"/>
              <w:left w:val="nil"/>
              <w:bottom w:val="single" w:sz="12" w:space="0" w:color="auto"/>
              <w:right w:val="nil"/>
            </w:tcBorders>
            <w:shd w:val="clear" w:color="auto" w:fill="auto"/>
            <w:vAlign w:val="center"/>
          </w:tcPr>
          <w:p w14:paraId="26AC5F30"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75.1</w:t>
            </w:r>
          </w:p>
        </w:tc>
        <w:tc>
          <w:tcPr>
            <w:tcW w:w="534" w:type="pct"/>
            <w:tcBorders>
              <w:top w:val="nil"/>
              <w:left w:val="nil"/>
              <w:bottom w:val="single" w:sz="12" w:space="0" w:color="auto"/>
              <w:right w:val="nil"/>
            </w:tcBorders>
            <w:shd w:val="clear" w:color="auto" w:fill="auto"/>
            <w:vAlign w:val="center"/>
          </w:tcPr>
          <w:p w14:paraId="3DCC6EA8"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17.6</w:t>
            </w:r>
          </w:p>
        </w:tc>
        <w:tc>
          <w:tcPr>
            <w:tcW w:w="534" w:type="pct"/>
            <w:tcBorders>
              <w:top w:val="nil"/>
              <w:left w:val="nil"/>
              <w:bottom w:val="single" w:sz="12" w:space="0" w:color="auto"/>
              <w:right w:val="nil"/>
            </w:tcBorders>
            <w:shd w:val="clear" w:color="auto" w:fill="auto"/>
            <w:vAlign w:val="center"/>
          </w:tcPr>
          <w:p w14:paraId="66BE020A"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3.0</w:t>
            </w:r>
          </w:p>
        </w:tc>
        <w:tc>
          <w:tcPr>
            <w:tcW w:w="462" w:type="pct"/>
            <w:tcBorders>
              <w:top w:val="nil"/>
              <w:left w:val="nil"/>
              <w:bottom w:val="single" w:sz="12" w:space="0" w:color="auto"/>
              <w:right w:val="nil"/>
            </w:tcBorders>
            <w:shd w:val="clear" w:color="auto" w:fill="auto"/>
            <w:vAlign w:val="center"/>
          </w:tcPr>
          <w:p w14:paraId="22611FC3"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w:t>
            </w:r>
          </w:p>
        </w:tc>
        <w:tc>
          <w:tcPr>
            <w:tcW w:w="444" w:type="pct"/>
            <w:tcBorders>
              <w:top w:val="nil"/>
              <w:left w:val="nil"/>
              <w:bottom w:val="single" w:sz="12" w:space="0" w:color="auto"/>
              <w:right w:val="nil"/>
            </w:tcBorders>
            <w:shd w:val="clear" w:color="auto" w:fill="auto"/>
            <w:vAlign w:val="center"/>
          </w:tcPr>
          <w:p w14:paraId="030C456C"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0.3</w:t>
            </w:r>
          </w:p>
        </w:tc>
        <w:tc>
          <w:tcPr>
            <w:tcW w:w="489" w:type="pct"/>
            <w:tcBorders>
              <w:top w:val="nil"/>
              <w:left w:val="nil"/>
              <w:bottom w:val="single" w:sz="12" w:space="0" w:color="auto"/>
              <w:right w:val="nil"/>
            </w:tcBorders>
            <w:shd w:val="clear" w:color="auto" w:fill="auto"/>
            <w:vAlign w:val="center"/>
          </w:tcPr>
          <w:p w14:paraId="08D001F3"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1.3</w:t>
            </w:r>
          </w:p>
        </w:tc>
        <w:tc>
          <w:tcPr>
            <w:tcW w:w="435" w:type="pct"/>
            <w:tcBorders>
              <w:top w:val="nil"/>
              <w:left w:val="nil"/>
              <w:bottom w:val="single" w:sz="12" w:space="0" w:color="auto"/>
              <w:right w:val="nil"/>
            </w:tcBorders>
            <w:shd w:val="clear" w:color="auto" w:fill="auto"/>
            <w:vAlign w:val="center"/>
          </w:tcPr>
          <w:p w14:paraId="2EE78639"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1.5</w:t>
            </w:r>
          </w:p>
        </w:tc>
        <w:tc>
          <w:tcPr>
            <w:tcW w:w="430" w:type="pct"/>
            <w:tcBorders>
              <w:top w:val="nil"/>
              <w:left w:val="nil"/>
              <w:bottom w:val="single" w:sz="12" w:space="0" w:color="auto"/>
              <w:right w:val="nil"/>
            </w:tcBorders>
            <w:shd w:val="clear" w:color="auto" w:fill="auto"/>
            <w:vAlign w:val="center"/>
          </w:tcPr>
          <w:p w14:paraId="0314F2FF" w14:textId="77777777" w:rsidR="000909E6" w:rsidRPr="00FD783B" w:rsidRDefault="000909E6" w:rsidP="002552B7">
            <w:pPr>
              <w:widowControl/>
              <w:snapToGrid w:val="0"/>
              <w:spacing w:line="360" w:lineRule="auto"/>
              <w:jc w:val="left"/>
              <w:rPr>
                <w:rFonts w:eastAsia="Times New Roman"/>
                <w:color w:val="000000"/>
                <w:kern w:val="0"/>
              </w:rPr>
            </w:pPr>
            <w:r w:rsidRPr="00FD783B">
              <w:rPr>
                <w:rFonts w:eastAsia="Times New Roman"/>
                <w:color w:val="000000"/>
                <w:kern w:val="0"/>
              </w:rPr>
              <w:t>16.2</w:t>
            </w:r>
          </w:p>
        </w:tc>
      </w:tr>
    </w:tbl>
    <w:p w14:paraId="71D455EF" w14:textId="77777777" w:rsidR="000909E6" w:rsidRPr="00FD783B" w:rsidRDefault="000909E6" w:rsidP="00623B10">
      <w:pPr>
        <w:snapToGrid w:val="0"/>
        <w:spacing w:line="480" w:lineRule="auto"/>
        <w:ind w:firstLineChars="200" w:firstLine="480"/>
      </w:pPr>
    </w:p>
    <w:p w14:paraId="279C5F15" w14:textId="24CE7747" w:rsidR="000D7881" w:rsidRPr="00FD783B" w:rsidRDefault="00B976D6" w:rsidP="00623B10">
      <w:pPr>
        <w:snapToGrid w:val="0"/>
        <w:spacing w:line="480" w:lineRule="auto"/>
        <w:ind w:firstLineChars="200" w:firstLine="480"/>
        <w:rPr>
          <w:rFonts w:eastAsia="等线"/>
        </w:rPr>
      </w:pPr>
      <w:r w:rsidRPr="00FD783B">
        <w:t xml:space="preserve">The TH-treated </w:t>
      </w:r>
      <w:r w:rsidR="000D7881" w:rsidRPr="00FD783B">
        <w:t>THS contained a wide range of oxides, dominated with SiO</w:t>
      </w:r>
      <w:r w:rsidR="000D7881" w:rsidRPr="00FD783B">
        <w:rPr>
          <w:vertAlign w:val="subscript"/>
        </w:rPr>
        <w:t>2</w:t>
      </w:r>
      <w:r w:rsidR="000D7881" w:rsidRPr="00FD783B">
        <w:t>, P</w:t>
      </w:r>
      <w:r w:rsidR="000D7881" w:rsidRPr="00FD783B">
        <w:rPr>
          <w:vertAlign w:val="subscript"/>
        </w:rPr>
        <w:t>2</w:t>
      </w:r>
      <w:r w:rsidR="000D7881" w:rsidRPr="00FD783B">
        <w:t>O</w:t>
      </w:r>
      <w:r w:rsidR="000D7881" w:rsidRPr="00FD783B">
        <w:rPr>
          <w:vertAlign w:val="subscript"/>
        </w:rPr>
        <w:t>5</w:t>
      </w:r>
      <w:r w:rsidR="000D7881" w:rsidRPr="00FD783B">
        <w:t>, Fe</w:t>
      </w:r>
      <w:r w:rsidR="000D7881" w:rsidRPr="00FD783B">
        <w:rPr>
          <w:vertAlign w:val="subscript"/>
        </w:rPr>
        <w:t>2</w:t>
      </w:r>
      <w:r w:rsidR="000D7881" w:rsidRPr="00FD783B">
        <w:t>O</w:t>
      </w:r>
      <w:r w:rsidR="000D7881" w:rsidRPr="00FD783B">
        <w:rPr>
          <w:vertAlign w:val="subscript"/>
        </w:rPr>
        <w:t>3</w:t>
      </w:r>
      <w:r w:rsidR="000D7881" w:rsidRPr="00FD783B">
        <w:t>, and Al</w:t>
      </w:r>
      <w:r w:rsidR="000D7881" w:rsidRPr="00FD783B">
        <w:rPr>
          <w:vertAlign w:val="subscript"/>
        </w:rPr>
        <w:t>2</w:t>
      </w:r>
      <w:r w:rsidR="000D7881" w:rsidRPr="00FD783B">
        <w:t>O</w:t>
      </w:r>
      <w:r w:rsidR="000D7881" w:rsidRPr="00FD783B">
        <w:rPr>
          <w:vertAlign w:val="subscript"/>
        </w:rPr>
        <w:t>3</w:t>
      </w:r>
      <w:r w:rsidR="000D7881" w:rsidRPr="00FD783B">
        <w:t xml:space="preserve">, and their </w:t>
      </w:r>
      <w:r w:rsidRPr="00FD783B">
        <w:t>fractions</w:t>
      </w:r>
      <w:r w:rsidR="000D7881" w:rsidRPr="00FD783B">
        <w:t xml:space="preserve"> were </w:t>
      </w:r>
      <w:r w:rsidR="000909E6" w:rsidRPr="00FD783B">
        <w:t xml:space="preserve">considerably </w:t>
      </w:r>
      <w:r w:rsidRPr="00FD783B">
        <w:t xml:space="preserve">higher </w:t>
      </w:r>
      <w:r w:rsidR="000D7881" w:rsidRPr="00FD783B">
        <w:t>than that of RS</w:t>
      </w:r>
      <w:r w:rsidR="000D7881" w:rsidRPr="00FD783B">
        <w:rPr>
          <w:rFonts w:eastAsia="等线"/>
        </w:rPr>
        <w:t xml:space="preserve"> (Table 1). S</w:t>
      </w:r>
      <w:r w:rsidR="000D7881" w:rsidRPr="00FD783B">
        <w:t xml:space="preserve">ilicate is known to be prevalent in dust and soil, and phosphorus originates from microbes, organic </w:t>
      </w:r>
      <w:r w:rsidR="000909E6" w:rsidRPr="00FD783B">
        <w:t>substances</w:t>
      </w:r>
      <w:r w:rsidR="000D7881" w:rsidRPr="00FD783B">
        <w:t xml:space="preserve">, and inorganic </w:t>
      </w:r>
      <w:r w:rsidR="000909E6" w:rsidRPr="00FD783B">
        <w:t>materials</w:t>
      </w:r>
      <w:r w:rsidR="000D7881" w:rsidRPr="00FD783B">
        <w:t xml:space="preserve"> in </w:t>
      </w:r>
      <w:bookmarkStart w:id="75" w:name="OLE_LINK53"/>
      <w:r w:rsidR="000D7881" w:rsidRPr="00FD783B">
        <w:t>wastewater</w:t>
      </w:r>
      <w:bookmarkEnd w:id="75"/>
      <w:r w:rsidR="000D7881" w:rsidRPr="00FD783B">
        <w:t xml:space="preserve"> </w:t>
      </w:r>
      <w:r w:rsidR="000D7881" w:rsidRPr="00FD783B">
        <w:rPr>
          <w:noProof/>
        </w:rPr>
        <w:t>(Yu et al., 2021)</w:t>
      </w:r>
      <w:r w:rsidR="000D7881" w:rsidRPr="00FD783B">
        <w:t>. Iron and aluminum are abundant element</w:t>
      </w:r>
      <w:r w:rsidR="000909E6" w:rsidRPr="00FD783B">
        <w:t>s</w:t>
      </w:r>
      <w:r w:rsidR="000D7881" w:rsidRPr="00FD783B">
        <w:t xml:space="preserve"> on earth, and they are commonly present in wastewater and sludge in Hong Kong and elsewhere </w:t>
      </w:r>
      <w:r w:rsidR="000D7881" w:rsidRPr="00FD783B">
        <w:rPr>
          <w:noProof/>
        </w:rPr>
        <w:t>(Ahmad et al., 2016; Zhou et al., 2020)</w:t>
      </w:r>
      <w:r w:rsidR="000D7881" w:rsidRPr="00FD783B">
        <w:t xml:space="preserve">. </w:t>
      </w:r>
      <w:bookmarkStart w:id="76" w:name="OLE_LINK36"/>
      <w:r w:rsidR="00850FC0">
        <w:t>More s</w:t>
      </w:r>
      <w:r w:rsidR="00850FC0" w:rsidRPr="00FD783B">
        <w:t xml:space="preserve">ilicate </w:t>
      </w:r>
      <w:r w:rsidR="000D7881" w:rsidRPr="00FD783B">
        <w:t xml:space="preserve">and aluminate </w:t>
      </w:r>
      <w:bookmarkEnd w:id="76"/>
      <w:r w:rsidR="00850FC0">
        <w:t>contents</w:t>
      </w:r>
      <w:r w:rsidR="000D7881" w:rsidRPr="00FD783B">
        <w:t xml:space="preserve"> benefit the compression resistance of the sintered </w:t>
      </w:r>
      <w:r w:rsidR="00B07A60" w:rsidRPr="00B07A60">
        <w:t xml:space="preserve">ceramic </w:t>
      </w:r>
      <w:r w:rsidR="000D7881" w:rsidRPr="00FD783B">
        <w:t xml:space="preserve">products </w:t>
      </w:r>
      <w:r w:rsidR="000D7881" w:rsidRPr="00FD783B">
        <w:rPr>
          <w:noProof/>
        </w:rPr>
        <w:t>(Tsai et al., 2006)</w:t>
      </w:r>
      <w:r w:rsidR="000D7881" w:rsidRPr="00FD783B">
        <w:t>. Fe</w:t>
      </w:r>
      <w:r w:rsidR="000D7881" w:rsidRPr="00FD783B">
        <w:rPr>
          <w:vertAlign w:val="subscript"/>
        </w:rPr>
        <w:t>2</w:t>
      </w:r>
      <w:r w:rsidR="000D7881" w:rsidRPr="00FD783B">
        <w:t>O</w:t>
      </w:r>
      <w:r w:rsidR="000D7881" w:rsidRPr="00FD783B">
        <w:rPr>
          <w:vertAlign w:val="subscript"/>
        </w:rPr>
        <w:t>3</w:t>
      </w:r>
      <w:r w:rsidR="000D7881" w:rsidRPr="00FD783B">
        <w:t xml:space="preserve"> together with other minor oxides of </w:t>
      </w:r>
      <w:bookmarkStart w:id="77" w:name="OLE_LINK67"/>
      <w:r w:rsidR="000D7881" w:rsidRPr="00FD783B">
        <w:t xml:space="preserve">alkali and alkaline-earth metals </w:t>
      </w:r>
      <w:bookmarkEnd w:id="77"/>
      <w:r w:rsidR="000D7881" w:rsidRPr="00FD783B">
        <w:t xml:space="preserve">help to </w:t>
      </w:r>
      <w:r w:rsidR="000909E6" w:rsidRPr="00FD783B">
        <w:t xml:space="preserve">lower </w:t>
      </w:r>
      <w:r w:rsidR="000D7881" w:rsidRPr="00FD783B">
        <w:t xml:space="preserve">the melting point of the glassy phase </w:t>
      </w:r>
      <w:r w:rsidR="000D7881" w:rsidRPr="00FD783B">
        <w:rPr>
          <w:noProof/>
        </w:rPr>
        <w:t>(Acchar et al., 2013; Tsai et al., 2006)</w:t>
      </w:r>
      <w:r w:rsidR="000D7881" w:rsidRPr="00FD783B">
        <w:t>. In general, amorphous components were dominant in THS, and quartz was the only detected crystalline species (</w:t>
      </w:r>
      <w:bookmarkStart w:id="78" w:name="OLE_LINK41"/>
      <w:r w:rsidR="000D7881" w:rsidRPr="00FD783B">
        <w:t>Fig</w:t>
      </w:r>
      <w:bookmarkEnd w:id="78"/>
      <w:r w:rsidR="000D7881" w:rsidRPr="00FD783B">
        <w:t>. 1</w:t>
      </w:r>
      <w:r w:rsidR="004D25BF">
        <w:t>a</w:t>
      </w:r>
      <w:r w:rsidR="000D7881" w:rsidRPr="00FD783B">
        <w:t xml:space="preserve">), which is similar to the reported findings </w:t>
      </w:r>
      <w:r w:rsidR="000D7881" w:rsidRPr="00FD783B">
        <w:rPr>
          <w:noProof/>
        </w:rPr>
        <w:t>(Yang et al., 2008)</w:t>
      </w:r>
      <w:r w:rsidR="000D7881" w:rsidRPr="00FD783B">
        <w:t xml:space="preserve">. By comparison, rich in aluminosilicate, </w:t>
      </w:r>
      <w:bookmarkStart w:id="79" w:name="OLE_LINK38"/>
      <w:r w:rsidR="000D7881" w:rsidRPr="00FD783B">
        <w:t>montmorillonite</w:t>
      </w:r>
      <w:bookmarkEnd w:id="79"/>
      <w:r w:rsidR="000D7881" w:rsidRPr="00FD783B">
        <w:t xml:space="preserve"> clay had more than 92% of SiO</w:t>
      </w:r>
      <w:r w:rsidR="000D7881" w:rsidRPr="00FD783B">
        <w:rPr>
          <w:vertAlign w:val="subscript"/>
        </w:rPr>
        <w:t>2</w:t>
      </w:r>
      <w:r w:rsidR="000D7881" w:rsidRPr="00FD783B">
        <w:t xml:space="preserve"> and Al</w:t>
      </w:r>
      <w:r w:rsidR="000D7881" w:rsidRPr="00FD783B">
        <w:rPr>
          <w:vertAlign w:val="subscript"/>
        </w:rPr>
        <w:t>2</w:t>
      </w:r>
      <w:r w:rsidR="000D7881" w:rsidRPr="00FD783B">
        <w:t>O</w:t>
      </w:r>
      <w:r w:rsidR="000D7881" w:rsidRPr="00FD783B">
        <w:rPr>
          <w:vertAlign w:val="subscript"/>
        </w:rPr>
        <w:t>3</w:t>
      </w:r>
      <w:r w:rsidR="000D7881" w:rsidRPr="00FD783B">
        <w:t xml:space="preserve">, and the identified crystals were quartz and </w:t>
      </w:r>
      <w:bookmarkStart w:id="80" w:name="OLE_LINK37"/>
      <w:r w:rsidR="000D7881" w:rsidRPr="00FD783B">
        <w:t>muscovite</w:t>
      </w:r>
      <w:bookmarkEnd w:id="80"/>
      <w:r w:rsidR="000D7881" w:rsidRPr="00FD783B">
        <w:t xml:space="preserve"> KAl</w:t>
      </w:r>
      <w:r w:rsidR="000D7881" w:rsidRPr="00FD783B">
        <w:rPr>
          <w:vertAlign w:val="subscript"/>
        </w:rPr>
        <w:t>2</w:t>
      </w:r>
      <w:r w:rsidR="000D7881" w:rsidRPr="00FD783B">
        <w:t>(AlSi</w:t>
      </w:r>
      <w:r w:rsidR="000D7881" w:rsidRPr="00FD783B">
        <w:rPr>
          <w:vertAlign w:val="subscript"/>
        </w:rPr>
        <w:t>3</w:t>
      </w:r>
      <w:r w:rsidR="000D7881" w:rsidRPr="00FD783B">
        <w:t>O</w:t>
      </w:r>
      <w:r w:rsidR="000D7881" w:rsidRPr="00FD783B">
        <w:rPr>
          <w:vertAlign w:val="subscript"/>
        </w:rPr>
        <w:t>10</w:t>
      </w:r>
      <w:r w:rsidR="000D7881" w:rsidRPr="00FD783B">
        <w:t>)(OH)</w:t>
      </w:r>
      <w:r w:rsidR="000D7881" w:rsidRPr="00FD783B">
        <w:rPr>
          <w:vertAlign w:val="subscript"/>
        </w:rPr>
        <w:t>2</w:t>
      </w:r>
      <w:r w:rsidR="000D7881" w:rsidRPr="00FD783B">
        <w:t xml:space="preserve">. </w:t>
      </w:r>
      <w:bookmarkStart w:id="81" w:name="OLE_LINK35"/>
      <w:r w:rsidR="000D7881" w:rsidRPr="00FD783B">
        <w:t>Muscovite</w:t>
      </w:r>
      <w:bookmarkEnd w:id="81"/>
      <w:r w:rsidR="000D7881" w:rsidRPr="00FD783B">
        <w:t xml:space="preserve"> is a crucial silicate mineral for ceramic tile preparation </w:t>
      </w:r>
      <w:r w:rsidR="000D7881" w:rsidRPr="00FD783B">
        <w:rPr>
          <w:noProof/>
        </w:rPr>
        <w:t>(Ojo et al., 2019)</w:t>
      </w:r>
      <w:r w:rsidR="000D7881" w:rsidRPr="00FD783B">
        <w:t>.</w:t>
      </w:r>
    </w:p>
    <w:p w14:paraId="27C660D7" w14:textId="7284700D" w:rsidR="00371676" w:rsidRDefault="00371676" w:rsidP="00371676">
      <w:pPr>
        <w:snapToGrid w:val="0"/>
        <w:spacing w:line="480" w:lineRule="auto"/>
        <w:jc w:val="center"/>
      </w:pPr>
    </w:p>
    <w:p w14:paraId="5DCB9BE1" w14:textId="345F2518" w:rsidR="004D25BF" w:rsidRPr="00FD783B" w:rsidRDefault="004D25BF" w:rsidP="00371676">
      <w:pPr>
        <w:snapToGrid w:val="0"/>
        <w:spacing w:line="480" w:lineRule="auto"/>
        <w:jc w:val="center"/>
      </w:pPr>
      <w:r>
        <w:rPr>
          <w:noProof/>
        </w:rPr>
        <w:lastRenderedPageBreak/>
        <w:drawing>
          <wp:inline distT="0" distB="0" distL="0" distR="0" wp14:anchorId="411EE069" wp14:editId="67237B0F">
            <wp:extent cx="5637614" cy="4008120"/>
            <wp:effectExtent l="0" t="0" r="1270" b="0"/>
            <wp:docPr id="6"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描述已自动生成"/>
                    <pic:cNvPicPr>
                      <a:picLocks noChangeAspect="1" noChangeArrowheads="1"/>
                    </pic:cNvPicPr>
                  </pic:nvPicPr>
                  <pic:blipFill rotWithShape="1">
                    <a:blip r:embed="rId12">
                      <a:extLst>
                        <a:ext uri="{28A0092B-C50C-407E-A947-70E740481C1C}">
                          <a14:useLocalDpi xmlns:a14="http://schemas.microsoft.com/office/drawing/2010/main" val="0"/>
                        </a:ext>
                      </a:extLst>
                    </a:blip>
                    <a:srcRect t="1425"/>
                    <a:stretch/>
                  </pic:blipFill>
                  <pic:spPr bwMode="auto">
                    <a:xfrm>
                      <a:off x="0" y="0"/>
                      <a:ext cx="5653849" cy="4019663"/>
                    </a:xfrm>
                    <a:prstGeom prst="rect">
                      <a:avLst/>
                    </a:prstGeom>
                    <a:noFill/>
                    <a:ln>
                      <a:noFill/>
                    </a:ln>
                    <a:extLst>
                      <a:ext uri="{53640926-AAD7-44D8-BBD7-CCE9431645EC}">
                        <a14:shadowObscured xmlns:a14="http://schemas.microsoft.com/office/drawing/2010/main"/>
                      </a:ext>
                    </a:extLst>
                  </pic:spPr>
                </pic:pic>
              </a:graphicData>
            </a:graphic>
          </wp:inline>
        </w:drawing>
      </w:r>
    </w:p>
    <w:p w14:paraId="394DEE53" w14:textId="540AD9CD" w:rsidR="000D7881" w:rsidRPr="00FD783B" w:rsidRDefault="000D7881" w:rsidP="00623B10">
      <w:pPr>
        <w:snapToGrid w:val="0"/>
        <w:spacing w:line="480" w:lineRule="auto"/>
        <w:jc w:val="center"/>
        <w:outlineLvl w:val="3"/>
        <w:rPr>
          <w:rFonts w:eastAsia="Calibri"/>
          <w:bCs/>
        </w:rPr>
      </w:pPr>
      <w:r w:rsidRPr="00FD783B">
        <w:rPr>
          <w:rFonts w:eastAsia="Calibri"/>
          <w:bCs/>
        </w:rPr>
        <w:t>Fig. 1. X</w:t>
      </w:r>
      <w:r w:rsidRPr="00FD783B">
        <w:t xml:space="preserve">RD patterns </w:t>
      </w:r>
      <w:r w:rsidR="004D25BF">
        <w:t>(a) and t</w:t>
      </w:r>
      <w:r w:rsidR="004D25BF" w:rsidRPr="00FD783B">
        <w:t>hermal (TGA-DSC) behavior of (</w:t>
      </w:r>
      <w:r w:rsidR="004D25BF">
        <w:t>b</w:t>
      </w:r>
      <w:r w:rsidR="004D25BF" w:rsidRPr="00FD783B">
        <w:t>) THS and (</w:t>
      </w:r>
      <w:r w:rsidR="004D25BF">
        <w:t>c</w:t>
      </w:r>
      <w:r w:rsidR="004D25BF" w:rsidRPr="00FD783B">
        <w:t>) montmorillonite</w:t>
      </w:r>
      <w:r w:rsidR="004D25BF">
        <w:t xml:space="preserve"> powders</w:t>
      </w:r>
      <w:r w:rsidRPr="00FD783B">
        <w:rPr>
          <w:rFonts w:eastAsia="Calibri"/>
          <w:bCs/>
        </w:rPr>
        <w:t>.</w:t>
      </w:r>
    </w:p>
    <w:p w14:paraId="7DBCAA1C" w14:textId="77777777" w:rsidR="000D7881" w:rsidRPr="00FD783B" w:rsidRDefault="000D7881" w:rsidP="00623B10">
      <w:pPr>
        <w:snapToGrid w:val="0"/>
        <w:spacing w:line="480" w:lineRule="auto"/>
        <w:rPr>
          <w:rFonts w:eastAsia="等线"/>
        </w:rPr>
      </w:pPr>
    </w:p>
    <w:p w14:paraId="49D6EAB5" w14:textId="4EF5DDED" w:rsidR="000D7881" w:rsidRPr="00FD783B" w:rsidRDefault="000D7881" w:rsidP="00623B10">
      <w:pPr>
        <w:adjustRightInd w:val="0"/>
        <w:snapToGrid w:val="0"/>
        <w:spacing w:line="480" w:lineRule="auto"/>
        <w:ind w:firstLineChars="200" w:firstLine="480"/>
        <w:rPr>
          <w:rFonts w:eastAsia="等线"/>
        </w:rPr>
      </w:pPr>
      <w:r w:rsidRPr="00FD783B">
        <w:t xml:space="preserve">The thermal behaviors of THS and montmorillonite </w:t>
      </w:r>
      <w:r w:rsidR="0087597B" w:rsidRPr="00FD783B">
        <w:t xml:space="preserve">from </w:t>
      </w:r>
      <w:r w:rsidRPr="00FD783B">
        <w:t xml:space="preserve">the room temperature (25 </w:t>
      </w:r>
      <w:proofErr w:type="spellStart"/>
      <w:r w:rsidR="00654BB4" w:rsidRPr="00654BB4">
        <w:rPr>
          <w:vertAlign w:val="superscript"/>
        </w:rPr>
        <w:t>o</w:t>
      </w:r>
      <w:r w:rsidR="00654BB4" w:rsidRPr="00654BB4">
        <w:t>C</w:t>
      </w:r>
      <w:proofErr w:type="spellEnd"/>
      <w:r w:rsidRPr="00FD783B">
        <w:t xml:space="preserve">) </w:t>
      </w:r>
      <w:r w:rsidR="0087597B" w:rsidRPr="00FD783B">
        <w:t xml:space="preserve">to </w:t>
      </w:r>
      <w:r w:rsidRPr="00FD783B">
        <w:t xml:space="preserve">1200 </w:t>
      </w:r>
      <w:proofErr w:type="spellStart"/>
      <w:r w:rsidR="00654BB4" w:rsidRPr="00654BB4">
        <w:rPr>
          <w:vertAlign w:val="superscript"/>
        </w:rPr>
        <w:t>o</w:t>
      </w:r>
      <w:r w:rsidR="00654BB4" w:rsidRPr="00654BB4">
        <w:t>C</w:t>
      </w:r>
      <w:proofErr w:type="spellEnd"/>
      <w:r w:rsidRPr="00FD783B">
        <w:t xml:space="preserve"> are illustrated in Fig</w:t>
      </w:r>
      <w:r w:rsidR="004D25BF">
        <w:t>s</w:t>
      </w:r>
      <w:r w:rsidRPr="00FD783B">
        <w:t xml:space="preserve">. </w:t>
      </w:r>
      <w:r w:rsidR="004D25BF">
        <w:t>1b and c</w:t>
      </w:r>
      <w:r w:rsidRPr="00FD783B">
        <w:t>. The two powder materials show the entirely different trends of TGA and DSC. As</w:t>
      </w:r>
      <w:r w:rsidR="0087597B" w:rsidRPr="00FD783B">
        <w:t xml:space="preserve"> for</w:t>
      </w:r>
      <w:r w:rsidRPr="00FD783B">
        <w:t xml:space="preserve"> THS, a slight mass loss was recorded between room temperature and 200 </w:t>
      </w:r>
      <w:proofErr w:type="spellStart"/>
      <w:r w:rsidR="00654BB4" w:rsidRPr="00654BB4">
        <w:rPr>
          <w:vertAlign w:val="superscript"/>
        </w:rPr>
        <w:t>o</w:t>
      </w:r>
      <w:r w:rsidR="00654BB4" w:rsidRPr="00654BB4">
        <w:t>C</w:t>
      </w:r>
      <w:proofErr w:type="spellEnd"/>
      <w:r w:rsidRPr="00FD783B">
        <w:t xml:space="preserve">, which is associated with the loss of </w:t>
      </w:r>
      <w:r w:rsidR="008B3EEC" w:rsidRPr="00FD783B">
        <w:t xml:space="preserve">adsorbed and </w:t>
      </w:r>
      <w:r w:rsidRPr="00FD783B">
        <w:t xml:space="preserve">crystal water. Afterwards and until 550 </w:t>
      </w:r>
      <w:proofErr w:type="spellStart"/>
      <w:r w:rsidR="00654BB4" w:rsidRPr="00654BB4">
        <w:rPr>
          <w:vertAlign w:val="superscript"/>
        </w:rPr>
        <w:t>o</w:t>
      </w:r>
      <w:r w:rsidR="00654BB4" w:rsidRPr="00654BB4">
        <w:t>C</w:t>
      </w:r>
      <w:proofErr w:type="spellEnd"/>
      <w:r w:rsidRPr="00FD783B">
        <w:t xml:space="preserve">, the total mass loss reached the peak, indicating the loss of organics by oxidation. Furthermore, a clear bimodal and exothermic pattern appeared at around 315 </w:t>
      </w:r>
      <w:proofErr w:type="spellStart"/>
      <w:r w:rsidR="00654BB4" w:rsidRPr="00654BB4">
        <w:rPr>
          <w:vertAlign w:val="superscript"/>
        </w:rPr>
        <w:t>o</w:t>
      </w:r>
      <w:r w:rsidR="00654BB4" w:rsidRPr="00654BB4">
        <w:t>C</w:t>
      </w:r>
      <w:proofErr w:type="spellEnd"/>
      <w:r w:rsidRPr="00FD783B">
        <w:t xml:space="preserve"> and 425 </w:t>
      </w:r>
      <w:proofErr w:type="spellStart"/>
      <w:r w:rsidR="00654BB4" w:rsidRPr="00654BB4">
        <w:rPr>
          <w:vertAlign w:val="superscript"/>
        </w:rPr>
        <w:t>o</w:t>
      </w:r>
      <w:r w:rsidR="00654BB4" w:rsidRPr="00654BB4">
        <w:t>C</w:t>
      </w:r>
      <w:proofErr w:type="spellEnd"/>
      <w:r w:rsidRPr="00FD783B">
        <w:t xml:space="preserve">, attributing to the degradation of carbohydrates and aliphatic compounds at a lower temperature and </w:t>
      </w:r>
      <w:r w:rsidR="0087597B" w:rsidRPr="00FD783B">
        <w:t>the</w:t>
      </w:r>
      <w:r w:rsidRPr="00FD783B">
        <w:t xml:space="preserve"> aromatic and polyphenols compounds </w:t>
      </w:r>
      <w:r w:rsidR="0087597B" w:rsidRPr="00FD783B">
        <w:t>at</w:t>
      </w:r>
      <w:r w:rsidRPr="00FD783B">
        <w:t xml:space="preserve"> the other</w:t>
      </w:r>
      <w:r w:rsidR="0087597B" w:rsidRPr="00FD783B">
        <w:t xml:space="preserve"> higher temperature</w:t>
      </w:r>
      <w:r w:rsidRPr="00FD783B">
        <w:t xml:space="preserve"> </w:t>
      </w:r>
      <w:r w:rsidRPr="00FD783B">
        <w:rPr>
          <w:noProof/>
        </w:rPr>
        <w:t>(Fernandez et al., 2012)</w:t>
      </w:r>
      <w:r w:rsidRPr="00FD783B">
        <w:t xml:space="preserve">. An intense exothermic peak was observed at 1136 </w:t>
      </w:r>
      <w:proofErr w:type="spellStart"/>
      <w:r w:rsidR="00654BB4" w:rsidRPr="00654BB4">
        <w:rPr>
          <w:vertAlign w:val="superscript"/>
        </w:rPr>
        <w:t>o</w:t>
      </w:r>
      <w:r w:rsidR="00654BB4" w:rsidRPr="00654BB4">
        <w:t>C</w:t>
      </w:r>
      <w:proofErr w:type="spellEnd"/>
      <w:r w:rsidRPr="00FD783B">
        <w:t xml:space="preserve">, which is related to the crystallization process by inorganic minerals in the THS. By contrast, the </w:t>
      </w:r>
      <w:r w:rsidRPr="00FD783B">
        <w:lastRenderedPageBreak/>
        <w:t xml:space="preserve">montmorillonite had a total mass loss of less than 15% from the apparent evaporation of absorbed water below 100 </w:t>
      </w:r>
      <w:proofErr w:type="spellStart"/>
      <w:r w:rsidR="00654BB4" w:rsidRPr="00654BB4">
        <w:rPr>
          <w:vertAlign w:val="superscript"/>
        </w:rPr>
        <w:t>o</w:t>
      </w:r>
      <w:r w:rsidR="00654BB4" w:rsidRPr="00654BB4">
        <w:t>C</w:t>
      </w:r>
      <w:r w:rsidRPr="00FD783B">
        <w:t>.</w:t>
      </w:r>
      <w:proofErr w:type="spellEnd"/>
      <w:r w:rsidRPr="00FD783B">
        <w:t xml:space="preserve"> No obvious exothermic peak was detected in DSC curve, implying the negligible amount of residual carbon in montmorillonite </w:t>
      </w:r>
      <w:r w:rsidRPr="00FD783B">
        <w:rPr>
          <w:noProof/>
        </w:rPr>
        <w:t>(Qi et al., 2010)</w:t>
      </w:r>
      <w:r w:rsidRPr="00FD783B">
        <w:t xml:space="preserve">. Crystallization occurred at 990 </w:t>
      </w:r>
      <w:proofErr w:type="spellStart"/>
      <w:r w:rsidR="00654BB4" w:rsidRPr="00654BB4">
        <w:rPr>
          <w:vertAlign w:val="superscript"/>
        </w:rPr>
        <w:t>o</w:t>
      </w:r>
      <w:r w:rsidR="00654BB4" w:rsidRPr="00654BB4">
        <w:t>C</w:t>
      </w:r>
      <w:proofErr w:type="spellEnd"/>
      <w:r w:rsidRPr="00FD783B">
        <w:t>, relatively lower than that of THS. Thus, to make use of THS as the substitute of montmorillonite for ceramic product</w:t>
      </w:r>
      <w:r w:rsidR="002D2BF2" w:rsidRPr="00FD783B">
        <w:t>ion</w:t>
      </w:r>
      <w:r w:rsidRPr="00FD783B">
        <w:t xml:space="preserve"> but not to </w:t>
      </w:r>
      <w:r w:rsidR="002D2BF2" w:rsidRPr="00FD783B">
        <w:t xml:space="preserve">greatly increase </w:t>
      </w:r>
      <w:r w:rsidRPr="00FD783B">
        <w:t xml:space="preserve">the energy input, the sintering temperature can be </w:t>
      </w:r>
      <w:r w:rsidR="002D2BF2" w:rsidRPr="00FD783B">
        <w:t xml:space="preserve">set </w:t>
      </w:r>
      <w:r w:rsidRPr="00FD783B">
        <w:t xml:space="preserve">at no more than 1200 </w:t>
      </w:r>
      <w:proofErr w:type="spellStart"/>
      <w:r w:rsidR="00654BB4" w:rsidRPr="00654BB4">
        <w:rPr>
          <w:vertAlign w:val="superscript"/>
        </w:rPr>
        <w:t>o</w:t>
      </w:r>
      <w:r w:rsidR="00654BB4" w:rsidRPr="00654BB4">
        <w:t>C</w:t>
      </w:r>
      <w:r w:rsidRPr="00FD783B">
        <w:t>.</w:t>
      </w:r>
      <w:proofErr w:type="spellEnd"/>
      <w:r w:rsidRPr="00FD783B">
        <w:t xml:space="preserve"> Holding </w:t>
      </w:r>
      <w:r w:rsidR="003205C6" w:rsidRPr="00FD783B">
        <w:t xml:space="preserve">at </w:t>
      </w:r>
      <w:r w:rsidRPr="00FD783B">
        <w:t xml:space="preserve">550 </w:t>
      </w:r>
      <w:proofErr w:type="spellStart"/>
      <w:r w:rsidR="00654BB4" w:rsidRPr="00654BB4">
        <w:rPr>
          <w:vertAlign w:val="superscript"/>
        </w:rPr>
        <w:t>o</w:t>
      </w:r>
      <w:r w:rsidR="00654BB4" w:rsidRPr="00654BB4">
        <w:t>C</w:t>
      </w:r>
      <w:proofErr w:type="spellEnd"/>
      <w:r w:rsidRPr="00FD783B">
        <w:t xml:space="preserve"> for 30 min could fully remove the organics via </w:t>
      </w:r>
      <w:r w:rsidR="003205C6" w:rsidRPr="00FD783B">
        <w:t xml:space="preserve">oxidation and </w:t>
      </w:r>
      <w:r w:rsidRPr="00FD783B">
        <w:t xml:space="preserve">gas release. </w:t>
      </w:r>
      <w:r w:rsidRPr="00FD783B">
        <w:rPr>
          <w:rFonts w:eastAsia="等线"/>
        </w:rPr>
        <w:t xml:space="preserve">Other volatile substances such as carbonate and </w:t>
      </w:r>
      <w:r w:rsidR="00CA2EEE" w:rsidRPr="00FD783B">
        <w:rPr>
          <w:rFonts w:eastAsia="等线"/>
        </w:rPr>
        <w:t>sulfate</w:t>
      </w:r>
      <w:r w:rsidRPr="00FD783B">
        <w:rPr>
          <w:rFonts w:eastAsia="等线"/>
        </w:rPr>
        <w:t xml:space="preserve"> </w:t>
      </w:r>
      <w:r w:rsidR="003729AA">
        <w:rPr>
          <w:rFonts w:eastAsia="等线"/>
        </w:rPr>
        <w:t>are</w:t>
      </w:r>
      <w:r w:rsidR="003729AA" w:rsidRPr="00FD783B">
        <w:rPr>
          <w:rFonts w:eastAsia="等线"/>
        </w:rPr>
        <w:t xml:space="preserve"> </w:t>
      </w:r>
      <w:r w:rsidRPr="00FD783B">
        <w:rPr>
          <w:rFonts w:eastAsia="等线"/>
        </w:rPr>
        <w:t xml:space="preserve">rare in the </w:t>
      </w:r>
      <w:r w:rsidRPr="00FD783B">
        <w:t>powder materials, as indicated by the minimum weight loss around their decomposition temperature</w:t>
      </w:r>
      <w:r w:rsidR="002D2BF2" w:rsidRPr="00FD783B">
        <w:t>s</w:t>
      </w:r>
      <w:r w:rsidR="003D174B" w:rsidRPr="00FD783B">
        <w:t xml:space="preserve"> of around </w:t>
      </w:r>
      <w:r w:rsidR="00CA2EEE" w:rsidRPr="00FD783B">
        <w:t xml:space="preserve">819 </w:t>
      </w:r>
      <w:proofErr w:type="spellStart"/>
      <w:r w:rsidR="00654BB4" w:rsidRPr="00654BB4">
        <w:rPr>
          <w:vertAlign w:val="superscript"/>
        </w:rPr>
        <w:t>o</w:t>
      </w:r>
      <w:r w:rsidR="00654BB4" w:rsidRPr="00654BB4">
        <w:t>C</w:t>
      </w:r>
      <w:proofErr w:type="spellEnd"/>
      <w:r w:rsidR="00CA2EEE" w:rsidRPr="00FD783B">
        <w:t xml:space="preserve"> and 1080 </w:t>
      </w:r>
      <w:proofErr w:type="spellStart"/>
      <w:r w:rsidR="00654BB4" w:rsidRPr="00654BB4">
        <w:rPr>
          <w:vertAlign w:val="superscript"/>
        </w:rPr>
        <w:t>o</w:t>
      </w:r>
      <w:r w:rsidR="00654BB4" w:rsidRPr="00654BB4">
        <w:t>C</w:t>
      </w:r>
      <w:proofErr w:type="spellEnd"/>
      <w:r w:rsidRPr="00FD783B">
        <w:t xml:space="preserve"> </w:t>
      </w:r>
      <w:r w:rsidR="00163C17" w:rsidRPr="00FD783B">
        <w:t>(</w:t>
      </w:r>
      <w:proofErr w:type="spellStart"/>
      <w:r w:rsidR="00163C17" w:rsidRPr="00FD783B">
        <w:t>Loutou</w:t>
      </w:r>
      <w:proofErr w:type="spellEnd"/>
      <w:r w:rsidR="00163C17" w:rsidRPr="00FD783B">
        <w:t xml:space="preserve"> et al., 2013; </w:t>
      </w:r>
      <w:proofErr w:type="spellStart"/>
      <w:r w:rsidR="00163C17" w:rsidRPr="00FD783B">
        <w:t>Scheidema</w:t>
      </w:r>
      <w:proofErr w:type="spellEnd"/>
      <w:r w:rsidR="00163C17" w:rsidRPr="00FD783B">
        <w:t xml:space="preserve"> and </w:t>
      </w:r>
      <w:proofErr w:type="spellStart"/>
      <w:r w:rsidR="00163C17" w:rsidRPr="00FD783B">
        <w:t>Taskinen</w:t>
      </w:r>
      <w:proofErr w:type="spellEnd"/>
      <w:r w:rsidR="00163C17" w:rsidRPr="00FD783B">
        <w:t>, 2011)</w:t>
      </w:r>
      <w:r w:rsidR="00CA2EEE" w:rsidRPr="00FD783B">
        <w:t>.</w:t>
      </w:r>
    </w:p>
    <w:p w14:paraId="1FCCA9B0" w14:textId="77777777" w:rsidR="000D7881" w:rsidRPr="00FD783B" w:rsidRDefault="000D7881" w:rsidP="004D25BF">
      <w:pPr>
        <w:snapToGrid w:val="0"/>
        <w:spacing w:line="480" w:lineRule="auto"/>
      </w:pPr>
    </w:p>
    <w:p w14:paraId="09969783" w14:textId="724038EF" w:rsidR="000D7881" w:rsidRPr="00FD783B" w:rsidRDefault="000D7881" w:rsidP="00623B10">
      <w:pPr>
        <w:pStyle w:val="2"/>
        <w:snapToGrid w:val="0"/>
      </w:pPr>
      <w:r w:rsidRPr="00FD783B">
        <w:t xml:space="preserve">3.2 Properties of the ceramic tiles at the different </w:t>
      </w:r>
      <w:r w:rsidRPr="00FD783B">
        <w:rPr>
          <w:rFonts w:eastAsia="等线"/>
        </w:rPr>
        <w:t>THS dosing ratios and sintering temperatures</w:t>
      </w:r>
    </w:p>
    <w:p w14:paraId="713F3682" w14:textId="77777777" w:rsidR="000D7881" w:rsidRPr="00FD783B" w:rsidRDefault="000D7881" w:rsidP="00623B10">
      <w:pPr>
        <w:snapToGrid w:val="0"/>
        <w:spacing w:line="480" w:lineRule="auto"/>
        <w:outlineLvl w:val="2"/>
        <w:rPr>
          <w:rFonts w:eastAsia="等线"/>
          <w:b/>
          <w:bCs/>
        </w:rPr>
      </w:pPr>
      <w:r w:rsidRPr="00FD783B">
        <w:rPr>
          <w:rFonts w:eastAsia="等线"/>
          <w:b/>
          <w:bCs/>
        </w:rPr>
        <w:t>3.2.1 Macroscopic morphology and structure</w:t>
      </w:r>
    </w:p>
    <w:p w14:paraId="211B02BA" w14:textId="4FAD5071" w:rsidR="000D7881" w:rsidRDefault="000D7881" w:rsidP="00623B10">
      <w:pPr>
        <w:snapToGrid w:val="0"/>
        <w:spacing w:line="480" w:lineRule="auto"/>
        <w:ind w:firstLineChars="200" w:firstLine="480"/>
        <w:rPr>
          <w:rFonts w:eastAsia="等线"/>
        </w:rPr>
      </w:pPr>
      <w:r w:rsidRPr="00FD783B">
        <w:rPr>
          <w:rFonts w:eastAsia="等线"/>
        </w:rPr>
        <w:t>From the appearances of the sintered tile</w:t>
      </w:r>
      <w:r w:rsidR="00383E0F" w:rsidRPr="00FD783B">
        <w:rPr>
          <w:rFonts w:eastAsia="等线"/>
        </w:rPr>
        <w:t>s</w:t>
      </w:r>
      <w:r w:rsidRPr="00FD783B">
        <w:rPr>
          <w:rFonts w:eastAsia="等线"/>
        </w:rPr>
        <w:t xml:space="preserve">, as the proportion of THS </w:t>
      </w:r>
      <w:r w:rsidR="00383E0F" w:rsidRPr="00FD783B">
        <w:rPr>
          <w:rFonts w:eastAsia="等线"/>
        </w:rPr>
        <w:t xml:space="preserve">dosing </w:t>
      </w:r>
      <w:r w:rsidRPr="00FD783B">
        <w:rPr>
          <w:rFonts w:eastAsia="等线"/>
        </w:rPr>
        <w:t xml:space="preserve">in </w:t>
      </w:r>
      <w:r w:rsidRPr="00FD783B">
        <w:t xml:space="preserve">montmorillonite increased, </w:t>
      </w:r>
      <w:r w:rsidRPr="00FD783B">
        <w:rPr>
          <w:rFonts w:eastAsia="等线"/>
        </w:rPr>
        <w:t xml:space="preserve">the size of </w:t>
      </w:r>
      <w:r w:rsidR="00383E0F" w:rsidRPr="00FD783B">
        <w:rPr>
          <w:rFonts w:eastAsia="等线"/>
        </w:rPr>
        <w:t xml:space="preserve">the </w:t>
      </w:r>
      <w:r w:rsidRPr="00FD783B">
        <w:rPr>
          <w:rFonts w:eastAsia="等线"/>
        </w:rPr>
        <w:t xml:space="preserve">tile specimens </w:t>
      </w:r>
      <w:r w:rsidR="00383E0F" w:rsidRPr="00FD783B">
        <w:rPr>
          <w:rFonts w:eastAsia="等线"/>
        </w:rPr>
        <w:t xml:space="preserve">was </w:t>
      </w:r>
      <w:r w:rsidRPr="00FD783B">
        <w:rPr>
          <w:rFonts w:eastAsia="等线"/>
        </w:rPr>
        <w:t xml:space="preserve">smaller, and the color became darker (Fig. </w:t>
      </w:r>
      <w:r w:rsidR="004D25BF">
        <w:rPr>
          <w:rFonts w:eastAsia="等线"/>
        </w:rPr>
        <w:t>2</w:t>
      </w:r>
      <w:r w:rsidRPr="00FD783B">
        <w:rPr>
          <w:rFonts w:eastAsia="等线"/>
        </w:rPr>
        <w:t xml:space="preserve">a). When </w:t>
      </w:r>
      <w:r w:rsidR="00383E0F" w:rsidRPr="00FD783B">
        <w:rPr>
          <w:rFonts w:eastAsia="等线"/>
        </w:rPr>
        <w:t xml:space="preserve">the </w:t>
      </w:r>
      <w:r w:rsidRPr="00FD783B">
        <w:rPr>
          <w:rFonts w:eastAsia="等线"/>
        </w:rPr>
        <w:t xml:space="preserve">THS </w:t>
      </w:r>
      <w:r w:rsidR="00383E0F" w:rsidRPr="00FD783B">
        <w:rPr>
          <w:rFonts w:eastAsia="等线"/>
        </w:rPr>
        <w:t xml:space="preserve">dosing ratio </w:t>
      </w:r>
      <w:r w:rsidRPr="00FD783B">
        <w:rPr>
          <w:rFonts w:eastAsia="等线"/>
        </w:rPr>
        <w:t xml:space="preserve">was at </w:t>
      </w:r>
      <w:r w:rsidRPr="00FD783B">
        <w:t xml:space="preserve">60% or higher, </w:t>
      </w:r>
      <w:r w:rsidRPr="00FD783B">
        <w:rPr>
          <w:rFonts w:eastAsia="等线"/>
        </w:rPr>
        <w:t xml:space="preserve">cracks emerged and even the original shape of green compact could not </w:t>
      </w:r>
      <w:r w:rsidR="00383E0F" w:rsidRPr="00FD783B">
        <w:rPr>
          <w:rFonts w:eastAsia="等线"/>
        </w:rPr>
        <w:t xml:space="preserve">be </w:t>
      </w:r>
      <w:r w:rsidRPr="00FD783B">
        <w:rPr>
          <w:rFonts w:eastAsia="等线"/>
        </w:rPr>
        <w:t>sustain</w:t>
      </w:r>
      <w:r w:rsidR="00383E0F" w:rsidRPr="00FD783B">
        <w:rPr>
          <w:rFonts w:eastAsia="等线"/>
        </w:rPr>
        <w:t>ed,</w:t>
      </w:r>
      <w:r w:rsidRPr="00FD783B">
        <w:rPr>
          <w:rFonts w:eastAsia="等线"/>
        </w:rPr>
        <w:t xml:space="preserve"> and the supposed tile of THS‒100 collapsed into a </w:t>
      </w:r>
      <w:bookmarkStart w:id="82" w:name="OLE_LINK42"/>
      <w:r w:rsidRPr="00FD783B">
        <w:rPr>
          <w:rFonts w:eastAsia="等线"/>
        </w:rPr>
        <w:t>mound</w:t>
      </w:r>
      <w:bookmarkEnd w:id="82"/>
      <w:r w:rsidRPr="00FD783B">
        <w:rPr>
          <w:rFonts w:eastAsia="等线"/>
        </w:rPr>
        <w:t xml:space="preserve">. Hence, 40% </w:t>
      </w:r>
      <w:r w:rsidR="00383E0F" w:rsidRPr="00FD783B">
        <w:rPr>
          <w:rFonts w:eastAsia="等线"/>
        </w:rPr>
        <w:t xml:space="preserve">is </w:t>
      </w:r>
      <w:r w:rsidRPr="00FD783B">
        <w:rPr>
          <w:rFonts w:eastAsia="等线"/>
        </w:rPr>
        <w:t>appare</w:t>
      </w:r>
      <w:r w:rsidR="00383E0F" w:rsidRPr="00FD783B">
        <w:rPr>
          <w:rFonts w:eastAsia="等线"/>
        </w:rPr>
        <w:t xml:space="preserve">ntly </w:t>
      </w:r>
      <w:r w:rsidRPr="00FD783B">
        <w:rPr>
          <w:rFonts w:eastAsia="等线"/>
        </w:rPr>
        <w:t>the reliable maximum THS ratio in the precursor mixture. Organic matters in THS would leave pores in the sintered products, causing rupture</w:t>
      </w:r>
      <w:r w:rsidR="00383E0F" w:rsidRPr="00FD783B">
        <w:rPr>
          <w:rFonts w:eastAsia="等线"/>
        </w:rPr>
        <w:t>s</w:t>
      </w:r>
      <w:r w:rsidRPr="00FD783B">
        <w:rPr>
          <w:rFonts w:eastAsia="等线"/>
        </w:rPr>
        <w:t xml:space="preserve"> in the ceramic tile</w:t>
      </w:r>
      <w:r w:rsidR="00383E0F" w:rsidRPr="00FD783B">
        <w:rPr>
          <w:rFonts w:eastAsia="等线"/>
        </w:rPr>
        <w:t xml:space="preserve">s </w:t>
      </w:r>
      <w:r w:rsidRPr="00FD783B">
        <w:rPr>
          <w:rFonts w:eastAsia="等线"/>
          <w:noProof/>
        </w:rPr>
        <w:t>(Zhang et al., 2016b)</w:t>
      </w:r>
      <w:r w:rsidRPr="00FD783B">
        <w:rPr>
          <w:rFonts w:eastAsia="等线"/>
        </w:rPr>
        <w:t xml:space="preserve">. </w:t>
      </w:r>
      <w:r w:rsidR="00383E0F" w:rsidRPr="00FD783B">
        <w:rPr>
          <w:rFonts w:eastAsia="等线"/>
        </w:rPr>
        <w:t xml:space="preserve">Increase of </w:t>
      </w:r>
      <w:r w:rsidRPr="00FD783B">
        <w:rPr>
          <w:rFonts w:eastAsia="等线"/>
        </w:rPr>
        <w:t xml:space="preserve">the sintering temperature made the </w:t>
      </w:r>
      <w:bookmarkStart w:id="83" w:name="OLE_LINK32"/>
      <w:r w:rsidRPr="00FD783B">
        <w:rPr>
          <w:rFonts w:eastAsia="等线"/>
        </w:rPr>
        <w:t>tile</w:t>
      </w:r>
      <w:bookmarkEnd w:id="83"/>
      <w:r w:rsidRPr="00FD783B">
        <w:rPr>
          <w:rFonts w:eastAsia="等线"/>
        </w:rPr>
        <w:t>s smaller in size and darker in color, with less cracks (</w:t>
      </w:r>
      <w:bookmarkStart w:id="84" w:name="OLE_LINK55"/>
      <w:r w:rsidRPr="00FD783B">
        <w:rPr>
          <w:rFonts w:eastAsia="等线"/>
        </w:rPr>
        <w:t xml:space="preserve">Fig. </w:t>
      </w:r>
      <w:bookmarkEnd w:id="84"/>
      <w:r w:rsidR="004D25BF">
        <w:rPr>
          <w:rFonts w:eastAsia="等线"/>
        </w:rPr>
        <w:t>2</w:t>
      </w:r>
      <w:r w:rsidRPr="00FD783B">
        <w:rPr>
          <w:rFonts w:eastAsia="等线"/>
        </w:rPr>
        <w:t xml:space="preserve">b). The evident </w:t>
      </w:r>
      <w:bookmarkStart w:id="85" w:name="OLE_LINK92"/>
      <w:r w:rsidRPr="00FD783B">
        <w:rPr>
          <w:rStyle w:val="hgkelc"/>
        </w:rPr>
        <w:t>reddish brown and dark brown</w:t>
      </w:r>
      <w:bookmarkEnd w:id="85"/>
      <w:r w:rsidRPr="00FD783B">
        <w:rPr>
          <w:rStyle w:val="hgkelc"/>
        </w:rPr>
        <w:t xml:space="preserve"> color </w:t>
      </w:r>
      <w:r w:rsidR="00383E0F" w:rsidRPr="00FD783B">
        <w:rPr>
          <w:rStyle w:val="hgkelc"/>
        </w:rPr>
        <w:t xml:space="preserve">appeared to be </w:t>
      </w:r>
      <w:r w:rsidRPr="00FD783B">
        <w:rPr>
          <w:rStyle w:val="hgkelc"/>
        </w:rPr>
        <w:t xml:space="preserve">inferred to ferric oxide minerals </w:t>
      </w:r>
      <w:r w:rsidRPr="00FD783B">
        <w:rPr>
          <w:rStyle w:val="hgkelc"/>
          <w:noProof/>
        </w:rPr>
        <w:t>(Monteiro et al., 2008)</w:t>
      </w:r>
      <w:r w:rsidRPr="00FD783B">
        <w:rPr>
          <w:rStyle w:val="hgkelc"/>
        </w:rPr>
        <w:t>.</w:t>
      </w:r>
      <w:r w:rsidRPr="00FD783B">
        <w:rPr>
          <w:rFonts w:eastAsia="等线"/>
        </w:rPr>
        <w:t xml:space="preserve"> As the mass loss already reached the peak at 550 </w:t>
      </w:r>
      <w:proofErr w:type="spellStart"/>
      <w:r w:rsidR="00654BB4" w:rsidRPr="00654BB4">
        <w:rPr>
          <w:vertAlign w:val="superscript"/>
        </w:rPr>
        <w:t>o</w:t>
      </w:r>
      <w:r w:rsidR="00654BB4" w:rsidRPr="00654BB4">
        <w:t>C</w:t>
      </w:r>
      <w:proofErr w:type="spellEnd"/>
      <w:r w:rsidRPr="00FD783B">
        <w:rPr>
          <w:rFonts w:eastAsia="等线"/>
        </w:rPr>
        <w:t xml:space="preserve"> according to the T</w:t>
      </w:r>
      <w:r w:rsidR="0099471A">
        <w:rPr>
          <w:rFonts w:eastAsia="等线"/>
        </w:rPr>
        <w:t>GA</w:t>
      </w:r>
      <w:r w:rsidRPr="00FD783B">
        <w:rPr>
          <w:rFonts w:eastAsia="等线"/>
        </w:rPr>
        <w:t xml:space="preserve"> analysis (</w:t>
      </w:r>
      <w:r w:rsidRPr="00FD783B">
        <w:rPr>
          <w:rFonts w:eastAsia="Calibri"/>
          <w:bCs/>
        </w:rPr>
        <w:t>Fig</w:t>
      </w:r>
      <w:r w:rsidR="0099471A">
        <w:rPr>
          <w:rFonts w:eastAsia="Calibri"/>
          <w:bCs/>
        </w:rPr>
        <w:t>s</w:t>
      </w:r>
      <w:r w:rsidRPr="00FD783B">
        <w:rPr>
          <w:rFonts w:eastAsia="Calibri"/>
          <w:bCs/>
        </w:rPr>
        <w:t xml:space="preserve">. </w:t>
      </w:r>
      <w:r w:rsidR="00E4452C">
        <w:rPr>
          <w:rFonts w:eastAsia="Calibri"/>
          <w:bCs/>
        </w:rPr>
        <w:t>1</w:t>
      </w:r>
      <w:r w:rsidR="0099471A">
        <w:rPr>
          <w:rFonts w:eastAsia="Calibri"/>
          <w:bCs/>
        </w:rPr>
        <w:t>b and c</w:t>
      </w:r>
      <w:r w:rsidRPr="00FD783B">
        <w:rPr>
          <w:rFonts w:eastAsia="等线"/>
        </w:rPr>
        <w:t xml:space="preserve">), the phase transformation and </w:t>
      </w:r>
      <w:r w:rsidRPr="00FD783B">
        <w:t>crystallization process</w:t>
      </w:r>
      <w:r w:rsidRPr="00FD783B">
        <w:rPr>
          <w:rFonts w:eastAsia="等线"/>
        </w:rPr>
        <w:t xml:space="preserve"> above this sintering temperature </w:t>
      </w:r>
      <w:r w:rsidRPr="00FD783B">
        <w:rPr>
          <w:rFonts w:eastAsia="等线"/>
        </w:rPr>
        <w:lastRenderedPageBreak/>
        <w:t xml:space="preserve">would be largely independent of the organic content in THS. </w:t>
      </w:r>
      <w:r w:rsidR="00BC5F1F" w:rsidRPr="00FD783B">
        <w:rPr>
          <w:rFonts w:eastAsia="等线"/>
        </w:rPr>
        <w:t xml:space="preserve">The LS and LOI </w:t>
      </w:r>
      <w:r w:rsidR="008B3704" w:rsidRPr="00FD783B">
        <w:rPr>
          <w:rFonts w:eastAsia="等线"/>
        </w:rPr>
        <w:t xml:space="preserve">values </w:t>
      </w:r>
      <w:r w:rsidR="00BC5F1F" w:rsidRPr="00FD783B">
        <w:rPr>
          <w:rFonts w:eastAsia="等线"/>
        </w:rPr>
        <w:t xml:space="preserve">of the </w:t>
      </w:r>
      <w:r w:rsidR="008B3704" w:rsidRPr="00FD783B">
        <w:rPr>
          <w:rFonts w:eastAsia="等线"/>
        </w:rPr>
        <w:t>m</w:t>
      </w:r>
      <w:r w:rsidR="00BC5F1F" w:rsidRPr="00FD783B">
        <w:rPr>
          <w:rFonts w:eastAsia="等线"/>
        </w:rPr>
        <w:t xml:space="preserve">ixture during the sintering process, shown in Figs. </w:t>
      </w:r>
      <w:r w:rsidR="00E4452C">
        <w:rPr>
          <w:rFonts w:eastAsia="等线"/>
        </w:rPr>
        <w:t>2</w:t>
      </w:r>
      <w:r w:rsidR="00BC5F1F" w:rsidRPr="00FD783B">
        <w:rPr>
          <w:rFonts w:eastAsia="等线"/>
        </w:rPr>
        <w:t xml:space="preserve">c and d, are consistent with the </w:t>
      </w:r>
      <w:r w:rsidRPr="00FD783B">
        <w:rPr>
          <w:rFonts w:eastAsia="等线"/>
        </w:rPr>
        <w:t xml:space="preserve">thermal behaviors of the </w:t>
      </w:r>
      <w:r w:rsidR="008B3704" w:rsidRPr="00FD783B">
        <w:rPr>
          <w:rFonts w:eastAsia="等线"/>
        </w:rPr>
        <w:t xml:space="preserve">precursor </w:t>
      </w:r>
      <w:r w:rsidRPr="00FD783B">
        <w:rPr>
          <w:rFonts w:eastAsia="等线"/>
        </w:rPr>
        <w:t xml:space="preserve">powders </w:t>
      </w:r>
      <w:r w:rsidR="00BC5F1F" w:rsidRPr="00FD783B">
        <w:rPr>
          <w:rFonts w:eastAsia="等线"/>
        </w:rPr>
        <w:t xml:space="preserve">of THS and </w:t>
      </w:r>
      <w:r w:rsidR="00BC5F1F" w:rsidRPr="00FD783B">
        <w:t>montmorillonite</w:t>
      </w:r>
      <w:r w:rsidR="00BC5F1F" w:rsidRPr="00FD783B">
        <w:rPr>
          <w:rFonts w:eastAsia="等线"/>
        </w:rPr>
        <w:t xml:space="preserve"> </w:t>
      </w:r>
      <w:r w:rsidR="008B3704" w:rsidRPr="00FD783B">
        <w:rPr>
          <w:rFonts w:eastAsia="等线"/>
        </w:rPr>
        <w:t>(Fig</w:t>
      </w:r>
      <w:r w:rsidR="0099471A">
        <w:rPr>
          <w:rFonts w:eastAsia="等线"/>
        </w:rPr>
        <w:t>s</w:t>
      </w:r>
      <w:r w:rsidR="008B3704" w:rsidRPr="00FD783B">
        <w:rPr>
          <w:rFonts w:eastAsia="等线"/>
        </w:rPr>
        <w:t xml:space="preserve">. </w:t>
      </w:r>
      <w:r w:rsidR="00E4452C">
        <w:rPr>
          <w:rFonts w:eastAsia="等线"/>
        </w:rPr>
        <w:t>1</w:t>
      </w:r>
      <w:r w:rsidR="0099471A">
        <w:rPr>
          <w:rFonts w:eastAsia="等线"/>
        </w:rPr>
        <w:t>b and c</w:t>
      </w:r>
      <w:r w:rsidR="008B3704" w:rsidRPr="00FD783B">
        <w:rPr>
          <w:rFonts w:eastAsia="等线"/>
        </w:rPr>
        <w:t>)</w:t>
      </w:r>
      <w:r w:rsidRPr="00FD783B">
        <w:rPr>
          <w:rFonts w:eastAsia="等线"/>
        </w:rPr>
        <w:t>.</w:t>
      </w:r>
    </w:p>
    <w:p w14:paraId="77334ED0" w14:textId="77777777" w:rsidR="008C4C4D" w:rsidRPr="00FD783B" w:rsidRDefault="008C4C4D" w:rsidP="00623B10">
      <w:pPr>
        <w:snapToGrid w:val="0"/>
        <w:spacing w:line="480" w:lineRule="auto"/>
        <w:ind w:firstLineChars="200" w:firstLine="480"/>
        <w:rPr>
          <w:rFonts w:eastAsia="等线"/>
        </w:rPr>
      </w:pPr>
    </w:p>
    <w:p w14:paraId="4FDA36E1" w14:textId="532D26D9" w:rsidR="00D468E6" w:rsidRPr="00FD783B" w:rsidRDefault="008C4C4D" w:rsidP="009F6F81">
      <w:pPr>
        <w:snapToGrid w:val="0"/>
        <w:spacing w:line="480" w:lineRule="auto"/>
        <w:rPr>
          <w:rFonts w:eastAsia="等线"/>
        </w:rPr>
      </w:pPr>
      <w:r>
        <w:rPr>
          <w:rFonts w:eastAsia="等线"/>
          <w:noProof/>
        </w:rPr>
        <w:drawing>
          <wp:inline distT="0" distB="0" distL="0" distR="0" wp14:anchorId="0B2D4611" wp14:editId="4230DBF0">
            <wp:extent cx="5745480" cy="2873161"/>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0" t="1858" r="841"/>
                    <a:stretch/>
                  </pic:blipFill>
                  <pic:spPr bwMode="auto">
                    <a:xfrm>
                      <a:off x="0" y="0"/>
                      <a:ext cx="5789519" cy="2895184"/>
                    </a:xfrm>
                    <a:prstGeom prst="rect">
                      <a:avLst/>
                    </a:prstGeom>
                    <a:noFill/>
                    <a:ln>
                      <a:noFill/>
                    </a:ln>
                    <a:extLst>
                      <a:ext uri="{53640926-AAD7-44D8-BBD7-CCE9431645EC}">
                        <a14:shadowObscured xmlns:a14="http://schemas.microsoft.com/office/drawing/2010/main"/>
                      </a:ext>
                    </a:extLst>
                  </pic:spPr>
                </pic:pic>
              </a:graphicData>
            </a:graphic>
          </wp:inline>
        </w:drawing>
      </w:r>
    </w:p>
    <w:p w14:paraId="5DE9BD4F" w14:textId="0B98716D" w:rsidR="000D7881" w:rsidRPr="00FD783B" w:rsidRDefault="000D7881" w:rsidP="00623B10">
      <w:pPr>
        <w:snapToGrid w:val="0"/>
        <w:spacing w:line="480" w:lineRule="auto"/>
        <w:jc w:val="center"/>
        <w:outlineLvl w:val="3"/>
        <w:rPr>
          <w:rFonts w:eastAsia="Calibri"/>
          <w:bCs/>
        </w:rPr>
      </w:pPr>
      <w:r w:rsidRPr="00FD783B">
        <w:rPr>
          <w:rFonts w:eastAsia="Calibri"/>
          <w:bCs/>
        </w:rPr>
        <w:t xml:space="preserve">Fig. </w:t>
      </w:r>
      <w:r w:rsidR="00E4452C">
        <w:rPr>
          <w:rFonts w:eastAsia="Calibri"/>
          <w:bCs/>
        </w:rPr>
        <w:t>2</w:t>
      </w:r>
      <w:r w:rsidRPr="00FD783B">
        <w:rPr>
          <w:rFonts w:eastAsia="Calibri"/>
          <w:bCs/>
        </w:rPr>
        <w:t xml:space="preserve">. </w:t>
      </w:r>
      <w:r w:rsidRPr="00FD783B">
        <w:t>The photographs (a and b) and measured LS and LOI values (</w:t>
      </w:r>
      <w:r w:rsidR="008B3704" w:rsidRPr="00FD783B">
        <w:t>c</w:t>
      </w:r>
      <w:r w:rsidRPr="00FD783B">
        <w:t xml:space="preserve"> and d) of the sintered </w:t>
      </w:r>
      <w:r w:rsidRPr="00FD783B">
        <w:rPr>
          <w:rFonts w:eastAsia="等线"/>
        </w:rPr>
        <w:t>tile</w:t>
      </w:r>
      <w:r w:rsidRPr="00FD783B">
        <w:t xml:space="preserve"> specimens</w:t>
      </w:r>
      <w:r w:rsidR="003619B9" w:rsidRPr="00FD783B">
        <w:t>:</w:t>
      </w:r>
      <w:r w:rsidR="00BC5F1F" w:rsidRPr="00FD783B">
        <w:t xml:space="preserve"> </w:t>
      </w:r>
      <w:r w:rsidRPr="00FD783B">
        <w:t xml:space="preserve">(a) and (c) different </w:t>
      </w:r>
      <w:r w:rsidRPr="00FD783B">
        <w:rPr>
          <w:rFonts w:eastAsia="等线"/>
        </w:rPr>
        <w:t>THS dosing ratios</w:t>
      </w:r>
      <w:r w:rsidRPr="00FD783B">
        <w:t xml:space="preserve"> (THS‒0 to THS‒100), and (b) and (d) different sintering temperatures (T‒550 to T‒1200).</w:t>
      </w:r>
    </w:p>
    <w:p w14:paraId="6B106AC5" w14:textId="77777777" w:rsidR="000D7881" w:rsidRPr="00FD783B" w:rsidRDefault="000D7881" w:rsidP="00623B10">
      <w:pPr>
        <w:snapToGrid w:val="0"/>
        <w:spacing w:line="480" w:lineRule="auto"/>
        <w:rPr>
          <w:rFonts w:eastAsia="等线"/>
        </w:rPr>
      </w:pPr>
    </w:p>
    <w:p w14:paraId="6FDCF70F" w14:textId="77777777" w:rsidR="000D7881" w:rsidRPr="00FD783B" w:rsidRDefault="000D7881" w:rsidP="00623B10">
      <w:pPr>
        <w:snapToGrid w:val="0"/>
        <w:spacing w:line="480" w:lineRule="auto"/>
        <w:outlineLvl w:val="2"/>
        <w:rPr>
          <w:rFonts w:eastAsia="等线"/>
          <w:b/>
          <w:bCs/>
        </w:rPr>
      </w:pPr>
      <w:r w:rsidRPr="00FD783B">
        <w:rPr>
          <w:rFonts w:eastAsia="等线"/>
          <w:b/>
          <w:bCs/>
        </w:rPr>
        <w:t>3.2.2 Densification degree and mechanical strength</w:t>
      </w:r>
    </w:p>
    <w:p w14:paraId="0AFEDF15" w14:textId="1F651F61" w:rsidR="000D7881" w:rsidRPr="00FD783B" w:rsidRDefault="000D7881" w:rsidP="00623B10">
      <w:pPr>
        <w:snapToGrid w:val="0"/>
        <w:spacing w:line="480" w:lineRule="auto"/>
        <w:ind w:firstLineChars="200" w:firstLine="480"/>
      </w:pPr>
      <w:r w:rsidRPr="00FD783B">
        <w:t xml:space="preserve">In terms of the degree of densification, water absorption was significantly low at only 0.4% for the THS‒40 tile specimen sintered at 1200 </w:t>
      </w:r>
      <w:proofErr w:type="spellStart"/>
      <w:r w:rsidR="00654BB4" w:rsidRPr="00654BB4">
        <w:rPr>
          <w:vertAlign w:val="superscript"/>
        </w:rPr>
        <w:t>o</w:t>
      </w:r>
      <w:r w:rsidR="00654BB4" w:rsidRPr="00654BB4">
        <w:t>C</w:t>
      </w:r>
      <w:proofErr w:type="spellEnd"/>
      <w:r w:rsidRPr="00FD783B">
        <w:t xml:space="preserve"> (Fig. </w:t>
      </w:r>
      <w:r w:rsidR="00E4452C">
        <w:t>3</w:t>
      </w:r>
      <w:r w:rsidRPr="00FD783B">
        <w:t xml:space="preserve">a), which is close to 0.2% of the tile made of pure montmorillonite (i.e., THS‒0). The products met the first-class level of ceramic tiles classified in the Chinese </w:t>
      </w:r>
      <w:bookmarkStart w:id="86" w:name="OLE_LINK44"/>
      <w:r w:rsidRPr="00FD783B">
        <w:t xml:space="preserve">standard of </w:t>
      </w:r>
      <w:bookmarkStart w:id="87" w:name="OLE_LINK77"/>
      <w:r w:rsidRPr="00FD783B">
        <w:t xml:space="preserve">GB/T 4100‒2006 </w:t>
      </w:r>
      <w:bookmarkEnd w:id="86"/>
      <w:bookmarkEnd w:id="87"/>
      <w:r w:rsidRPr="00FD783B">
        <w:t xml:space="preserve">(I&lt;3%, 3%&lt;II&lt;10%, 10%&lt;III) </w:t>
      </w:r>
      <w:r w:rsidRPr="00FD783B">
        <w:rPr>
          <w:noProof/>
        </w:rPr>
        <w:t>(GB/T 4100, 2006)</w:t>
      </w:r>
      <w:r w:rsidRPr="00FD783B">
        <w:t xml:space="preserve">. If the </w:t>
      </w:r>
      <w:r w:rsidR="002552B7" w:rsidRPr="00FD783B">
        <w:t xml:space="preserve">sintering </w:t>
      </w:r>
      <w:r w:rsidRPr="00FD783B">
        <w:t xml:space="preserve">temperature decreased to 1100 </w:t>
      </w:r>
      <w:proofErr w:type="spellStart"/>
      <w:r w:rsidR="00654BB4" w:rsidRPr="00654BB4">
        <w:rPr>
          <w:vertAlign w:val="superscript"/>
        </w:rPr>
        <w:t>o</w:t>
      </w:r>
      <w:r w:rsidR="00654BB4" w:rsidRPr="00654BB4">
        <w:t>C</w:t>
      </w:r>
      <w:proofErr w:type="spellEnd"/>
      <w:r w:rsidRPr="00FD783B">
        <w:t xml:space="preserve"> or lower, the water absorption of the ceramic products would be specified as the third-class grade (Fig. </w:t>
      </w:r>
      <w:r w:rsidR="00E4452C">
        <w:t>3</w:t>
      </w:r>
      <w:r w:rsidRPr="00FD783B">
        <w:t xml:space="preserve">b). The calculated open porosity, which depicts the ratio of pore </w:t>
      </w:r>
      <w:r w:rsidR="000D26CD" w:rsidRPr="00FD783B">
        <w:t xml:space="preserve">volume </w:t>
      </w:r>
      <w:r w:rsidRPr="00FD783B">
        <w:t xml:space="preserve">to the whole tile </w:t>
      </w:r>
      <w:r w:rsidR="000D26CD" w:rsidRPr="00FD783B">
        <w:t>volume</w:t>
      </w:r>
      <w:r w:rsidRPr="00FD783B">
        <w:t xml:space="preserve">, exhibited the similar trend as that of water absorption. Also, the bulk density of the sintered </w:t>
      </w:r>
      <w:r w:rsidRPr="00FD783B">
        <w:lastRenderedPageBreak/>
        <w:t>tile</w:t>
      </w:r>
      <w:r w:rsidR="000D26CD" w:rsidRPr="00FD783B">
        <w:t>s</w:t>
      </w:r>
      <w:r w:rsidRPr="00FD783B">
        <w:t xml:space="preserve"> at 1200 </w:t>
      </w:r>
      <w:proofErr w:type="spellStart"/>
      <w:r w:rsidR="00654BB4" w:rsidRPr="00654BB4">
        <w:rPr>
          <w:vertAlign w:val="superscript"/>
        </w:rPr>
        <w:t>o</w:t>
      </w:r>
      <w:r w:rsidR="00654BB4" w:rsidRPr="00654BB4">
        <w:t>C</w:t>
      </w:r>
      <w:proofErr w:type="spellEnd"/>
      <w:r w:rsidRPr="00FD783B">
        <w:t xml:space="preserve"> was close to 1.8 g/cm</w:t>
      </w:r>
      <w:r w:rsidRPr="00FD783B">
        <w:rPr>
          <w:vertAlign w:val="superscript"/>
        </w:rPr>
        <w:t>3</w:t>
      </w:r>
      <w:r w:rsidRPr="00FD783B">
        <w:t xml:space="preserve"> of the conventional ceramic materials </w:t>
      </w:r>
      <w:r w:rsidRPr="00FD783B">
        <w:rPr>
          <w:noProof/>
        </w:rPr>
        <w:t>(Katzer, 2013)</w:t>
      </w:r>
      <w:r w:rsidRPr="00FD783B">
        <w:t xml:space="preserve">, and the density increased generally with the sintering temperature. </w:t>
      </w:r>
    </w:p>
    <w:p w14:paraId="6EC0DA01" w14:textId="7C420B6F" w:rsidR="000D7881" w:rsidRPr="00FD783B" w:rsidRDefault="000D26CD" w:rsidP="00E4452C">
      <w:pPr>
        <w:snapToGrid w:val="0"/>
        <w:spacing w:line="480" w:lineRule="auto"/>
        <w:ind w:firstLineChars="200" w:firstLine="480"/>
      </w:pPr>
      <w:r w:rsidRPr="00FD783B">
        <w:t>The m</w:t>
      </w:r>
      <w:r w:rsidR="000D7881" w:rsidRPr="00FD783B">
        <w:t>echanical strength of ceramic products is a crucial parameter evaluated in the construction industry. For the control of THS‒0</w:t>
      </w:r>
      <w:r w:rsidRPr="00FD783B">
        <w:t xml:space="preserve"> without THS addition</w:t>
      </w:r>
      <w:r w:rsidR="000D7881" w:rsidRPr="00FD783B">
        <w:t xml:space="preserve">, the compressive strength was </w:t>
      </w:r>
      <w:bookmarkStart w:id="88" w:name="_Hlk117433489"/>
      <w:r w:rsidR="000D7881" w:rsidRPr="00FD783B">
        <w:t xml:space="preserve">140.7 MPa </w:t>
      </w:r>
      <w:bookmarkEnd w:id="88"/>
      <w:r w:rsidR="000D7881" w:rsidRPr="00FD783B">
        <w:t xml:space="preserve">(Fig. </w:t>
      </w:r>
      <w:r w:rsidR="00E4452C">
        <w:t>3</w:t>
      </w:r>
      <w:r w:rsidR="000D7881" w:rsidRPr="00FD783B">
        <w:t xml:space="preserve">c). Increasing the </w:t>
      </w:r>
      <w:r w:rsidR="000D7881" w:rsidRPr="00FD783B">
        <w:rPr>
          <w:rFonts w:eastAsia="等线"/>
        </w:rPr>
        <w:t xml:space="preserve">THS ratio </w:t>
      </w:r>
      <w:r w:rsidR="000D7881" w:rsidRPr="00FD783B">
        <w:t xml:space="preserve">up to 40% (THS‒40) still maintained a </w:t>
      </w:r>
      <w:r w:rsidRPr="00FD783B">
        <w:t xml:space="preserve">high </w:t>
      </w:r>
      <w:r w:rsidR="000D7881" w:rsidRPr="00FD783B">
        <w:t xml:space="preserve">strength value at </w:t>
      </w:r>
      <w:bookmarkStart w:id="89" w:name="_Hlk117433553"/>
      <w:r w:rsidR="000D7881" w:rsidRPr="00FD783B">
        <w:t>136.8 MPa</w:t>
      </w:r>
      <w:bookmarkEnd w:id="89"/>
      <w:r w:rsidR="000D7881" w:rsidRPr="00FD783B">
        <w:t xml:space="preserve">, which can be classified into the first-class </w:t>
      </w:r>
      <w:r w:rsidRPr="00FD783B">
        <w:t xml:space="preserve">grade </w:t>
      </w:r>
      <w:r w:rsidR="000D7881" w:rsidRPr="00FD783B">
        <w:t xml:space="preserve">according to the standard of </w:t>
      </w:r>
      <w:bookmarkStart w:id="90" w:name="OLE_LINK69"/>
      <w:r w:rsidR="000D7881" w:rsidRPr="00FD783B">
        <w:t>GB/T 4100‒2006</w:t>
      </w:r>
      <w:bookmarkEnd w:id="90"/>
      <w:r w:rsidR="000D7881" w:rsidRPr="00FD783B">
        <w:t xml:space="preserve"> </w:t>
      </w:r>
      <w:bookmarkStart w:id="91" w:name="_Hlk117433573"/>
      <w:r w:rsidR="000D7881" w:rsidRPr="00FD783B">
        <w:t>(I&gt;30 MPa, 30 MPa&gt;II&gt;18 MPa, 18 MPa&gt;III&gt;15 MPa)</w:t>
      </w:r>
      <w:bookmarkEnd w:id="91"/>
      <w:r w:rsidR="000D7881" w:rsidRPr="00FD783B">
        <w:t xml:space="preserve"> </w:t>
      </w:r>
      <w:r w:rsidR="000D7881" w:rsidRPr="00FD783B">
        <w:rPr>
          <w:noProof/>
        </w:rPr>
        <w:t>(GB/T 4100, 2006)</w:t>
      </w:r>
      <w:r w:rsidR="000D7881" w:rsidRPr="00FD783B">
        <w:t xml:space="preserve">. However, further increase of the THS ratio led to a sharp decrease of the compressive strength until &lt;5.0 MPa for the THS only product (i.e., THS‒100). For THS‒40, a high sintering temperature of 1200 </w:t>
      </w:r>
      <w:proofErr w:type="spellStart"/>
      <w:r w:rsidR="00654BB4" w:rsidRPr="00654BB4">
        <w:rPr>
          <w:vertAlign w:val="superscript"/>
        </w:rPr>
        <w:t>o</w:t>
      </w:r>
      <w:r w:rsidR="00654BB4" w:rsidRPr="00654BB4">
        <w:t>C</w:t>
      </w:r>
      <w:proofErr w:type="spellEnd"/>
      <w:r w:rsidR="000D7881" w:rsidRPr="00FD783B">
        <w:t xml:space="preserve"> ensured the toughness and strength of the ceramic tiles (Fig. </w:t>
      </w:r>
      <w:r w:rsidR="00E4452C">
        <w:t>3</w:t>
      </w:r>
      <w:r w:rsidR="000D7881" w:rsidRPr="00FD783B">
        <w:t xml:space="preserve">d). In recent reports, </w:t>
      </w:r>
      <w:r w:rsidRPr="00FD783B">
        <w:t xml:space="preserve">a proportion of </w:t>
      </w:r>
      <w:r w:rsidR="000D7881" w:rsidRPr="00FD783B">
        <w:t xml:space="preserve">5% to 30% waste sludge has been mixed into clay precursors to produce ceramic tiles </w:t>
      </w:r>
      <w:r w:rsidRPr="00FD783B">
        <w:t xml:space="preserve">with a sufficient </w:t>
      </w:r>
      <w:r w:rsidR="000D7881" w:rsidRPr="00FD783B">
        <w:t xml:space="preserve">mechanical strength </w:t>
      </w:r>
      <w:r w:rsidR="000D7881" w:rsidRPr="00FD783B">
        <w:rPr>
          <w:noProof/>
        </w:rPr>
        <w:t>(Chang et al., 2020; Cusidó et al., 2015; Gomes et al., 2019; Vashistha et al., 2019)</w:t>
      </w:r>
      <w:r w:rsidR="000D7881" w:rsidRPr="00FD783B">
        <w:t>. The present research corroborated that the dosing ratio of THS can be further increased to 40% to still make the ceramic products of satisfactory quality and performance</w:t>
      </w:r>
      <w:r w:rsidRPr="00FD783B">
        <w:t xml:space="preserve"> for construction applications</w:t>
      </w:r>
      <w:r w:rsidR="000D7881" w:rsidRPr="00FD783B">
        <w:t xml:space="preserve">. Meanwhile, using the </w:t>
      </w:r>
      <w:r w:rsidRPr="00FD783B">
        <w:t xml:space="preserve">low-cost </w:t>
      </w:r>
      <w:r w:rsidR="000D7881" w:rsidRPr="00FD783B">
        <w:t xml:space="preserve">and uniform montmorillonite also minimized the impact of natural clay’s diversity in composition on the sintered products. </w:t>
      </w:r>
    </w:p>
    <w:p w14:paraId="77784D19" w14:textId="18F03CDE" w:rsidR="000D7881" w:rsidRPr="00FD783B" w:rsidRDefault="000D7881" w:rsidP="00623B10">
      <w:pPr>
        <w:snapToGrid w:val="0"/>
        <w:spacing w:line="480" w:lineRule="auto"/>
        <w:jc w:val="center"/>
      </w:pPr>
    </w:p>
    <w:p w14:paraId="5D32B848" w14:textId="04EE4826" w:rsidR="000D7881" w:rsidRPr="00FD783B" w:rsidRDefault="00990144" w:rsidP="00623B10">
      <w:pPr>
        <w:snapToGrid w:val="0"/>
        <w:spacing w:line="480" w:lineRule="auto"/>
        <w:jc w:val="center"/>
      </w:pPr>
      <w:r w:rsidRPr="00FD783B">
        <w:object w:dxaOrig="6919" w:dyaOrig="4922" w14:anchorId="3D122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280.8pt" o:ole="">
            <v:imagedata r:id="rId14" o:title=""/>
          </v:shape>
          <o:OLEObject Type="Embed" ProgID="Origin50.Graph" ShapeID="_x0000_i1025" DrawAspect="Content" ObjectID="_1739807256" r:id="rId15"/>
        </w:object>
      </w:r>
    </w:p>
    <w:p w14:paraId="7DD49A43" w14:textId="29855C93" w:rsidR="000D7881" w:rsidRPr="00FD783B" w:rsidRDefault="000D7881" w:rsidP="00623B10">
      <w:pPr>
        <w:snapToGrid w:val="0"/>
        <w:spacing w:line="480" w:lineRule="auto"/>
        <w:jc w:val="center"/>
        <w:outlineLvl w:val="3"/>
        <w:rPr>
          <w:rFonts w:eastAsia="Calibri"/>
          <w:bCs/>
        </w:rPr>
      </w:pPr>
      <w:r w:rsidRPr="00FD783B">
        <w:rPr>
          <w:rFonts w:eastAsia="Calibri"/>
          <w:bCs/>
        </w:rPr>
        <w:t xml:space="preserve">Fig. </w:t>
      </w:r>
      <w:r w:rsidR="00E4452C">
        <w:rPr>
          <w:rFonts w:eastAsia="Calibri"/>
          <w:bCs/>
        </w:rPr>
        <w:t>3</w:t>
      </w:r>
      <w:r w:rsidRPr="00FD783B">
        <w:rPr>
          <w:rFonts w:eastAsia="Calibri"/>
          <w:bCs/>
        </w:rPr>
        <w:t xml:space="preserve">. </w:t>
      </w:r>
      <w:r w:rsidRPr="00FD783B">
        <w:t>The densification degrees (a and b) and compressive strengths (c and d) of the sintered tile specimens</w:t>
      </w:r>
      <w:r w:rsidR="003619B9" w:rsidRPr="00FD783B">
        <w:t>:</w:t>
      </w:r>
      <w:r w:rsidRPr="00FD783B">
        <w:t xml:space="preserve"> (a) and (c) different </w:t>
      </w:r>
      <w:r w:rsidRPr="00FD783B">
        <w:rPr>
          <w:rFonts w:eastAsia="等线"/>
        </w:rPr>
        <w:t xml:space="preserve">THS dosing ratios </w:t>
      </w:r>
      <w:r w:rsidRPr="00FD783B">
        <w:t>(THS‒0 to THS‒100), and (b) and (d) different sintering temperatures (T‒550 to T‒1200).</w:t>
      </w:r>
    </w:p>
    <w:p w14:paraId="602F030F" w14:textId="77777777" w:rsidR="000D7881" w:rsidRPr="00FD783B" w:rsidRDefault="000D7881" w:rsidP="00623B10">
      <w:pPr>
        <w:snapToGrid w:val="0"/>
        <w:spacing w:line="480" w:lineRule="auto"/>
        <w:rPr>
          <w:rFonts w:eastAsia="等线"/>
        </w:rPr>
      </w:pPr>
    </w:p>
    <w:p w14:paraId="06954712" w14:textId="77777777" w:rsidR="000D7881" w:rsidRPr="00FD783B" w:rsidRDefault="000D7881" w:rsidP="00623B10">
      <w:pPr>
        <w:snapToGrid w:val="0"/>
        <w:spacing w:line="480" w:lineRule="auto"/>
        <w:outlineLvl w:val="2"/>
        <w:rPr>
          <w:rFonts w:eastAsia="等线"/>
          <w:b/>
          <w:bCs/>
        </w:rPr>
      </w:pPr>
      <w:r w:rsidRPr="00FD783B">
        <w:rPr>
          <w:rFonts w:eastAsia="等线"/>
          <w:b/>
          <w:bCs/>
        </w:rPr>
        <w:t>3.2.3 Comparison between the tiles incorporated with RS and THS</w:t>
      </w:r>
    </w:p>
    <w:p w14:paraId="27D4313E" w14:textId="2651F630" w:rsidR="000D7881" w:rsidRPr="00FD783B" w:rsidRDefault="000D7881" w:rsidP="00623B10">
      <w:pPr>
        <w:snapToGrid w:val="0"/>
        <w:spacing w:line="480" w:lineRule="auto"/>
        <w:ind w:firstLineChars="200" w:firstLine="480"/>
      </w:pPr>
      <w:r w:rsidRPr="00FD783B">
        <w:t xml:space="preserve">The results </w:t>
      </w:r>
      <w:r w:rsidR="00E741BD" w:rsidRPr="00FD783B">
        <w:t xml:space="preserve">showed </w:t>
      </w:r>
      <w:r w:rsidRPr="00FD783B">
        <w:t>that 40% THS (THS‒40) is the maximum incorporation ratio for sintering the ceramic</w:t>
      </w:r>
      <w:r w:rsidR="00E741BD" w:rsidRPr="00FD783B">
        <w:t xml:space="preserve"> tiles</w:t>
      </w:r>
      <w:r w:rsidRPr="00FD783B">
        <w:t>. Similarly, using the same preparation procedure, the tile</w:t>
      </w:r>
      <w:r w:rsidR="00E741BD" w:rsidRPr="00FD783B">
        <w:t>s</w:t>
      </w:r>
      <w:r w:rsidRPr="00FD783B">
        <w:t xml:space="preserve"> w</w:t>
      </w:r>
      <w:r w:rsidR="00E741BD" w:rsidRPr="00FD783B">
        <w:t>ere</w:t>
      </w:r>
      <w:r w:rsidRPr="00FD783B">
        <w:t xml:space="preserve"> also made from the powder mixture consisting of 40% raw sludge and 60% montmorillonite (RS‒40). The RS‒40 </w:t>
      </w:r>
      <w:r w:rsidR="00E741BD" w:rsidRPr="00FD783B">
        <w:t>tiles</w:t>
      </w:r>
      <w:r w:rsidRPr="00FD783B">
        <w:t xml:space="preserve"> had water absorption of around 0.4% (Fig. </w:t>
      </w:r>
      <w:r w:rsidR="00E4452C">
        <w:t>4</w:t>
      </w:r>
      <w:r w:rsidRPr="00FD783B">
        <w:t xml:space="preserve">), which is similar to that of the THS‒40 </w:t>
      </w:r>
      <w:r w:rsidR="00E741BD" w:rsidRPr="00FD783B">
        <w:t xml:space="preserve">tiles </w:t>
      </w:r>
      <w:r w:rsidRPr="00FD783B">
        <w:t xml:space="preserve">and below the </w:t>
      </w:r>
      <w:r w:rsidR="00E741BD" w:rsidRPr="00FD783B">
        <w:t xml:space="preserve">water absorption of </w:t>
      </w:r>
      <w:r w:rsidRPr="00FD783B">
        <w:t xml:space="preserve">3% in the Chinese standard. The low water absorption of both tiles suggested their restricted erosion and high stability in long-term usage. However, the compressive strength of RS‒40 is lower than that of THS‒40 by about 10% (123.2 vs. 136.8 MPa). In other words, the THS‒40 ceramic tile possessed a higher strength and better quality than RS‒40, owing to the less organic content in THS after the </w:t>
      </w:r>
      <w:r w:rsidR="00CF16BC" w:rsidRPr="00FD783B">
        <w:t xml:space="preserve">TH </w:t>
      </w:r>
      <w:r w:rsidRPr="00FD783B">
        <w:t>treatment (Fig S1). Hence, in view of the extraction of organics and nutrients</w:t>
      </w:r>
      <w:r w:rsidR="007F01A9" w:rsidRPr="00FD783B">
        <w:t xml:space="preserve"> by TH</w:t>
      </w:r>
      <w:r w:rsidRPr="00FD783B">
        <w:t xml:space="preserve"> from the waste</w:t>
      </w:r>
      <w:r w:rsidR="00276190" w:rsidRPr="00FD783B">
        <w:t>water</w:t>
      </w:r>
      <w:r w:rsidRPr="00FD783B">
        <w:t xml:space="preserve"> </w:t>
      </w:r>
      <w:r w:rsidRPr="00FD783B">
        <w:lastRenderedPageBreak/>
        <w:t xml:space="preserve">sludge for resource recovery and the improved quality and performance of the </w:t>
      </w:r>
      <w:r w:rsidR="00CF16BC" w:rsidRPr="00FD783B">
        <w:t xml:space="preserve">ceramic </w:t>
      </w:r>
      <w:r w:rsidRPr="00FD783B">
        <w:t xml:space="preserve">tiles, </w:t>
      </w:r>
      <w:r w:rsidR="007F01A9" w:rsidRPr="00FD783B">
        <w:t xml:space="preserve">the prior TH process followed by sintering TH-treated sludge with clay for </w:t>
      </w:r>
      <w:r w:rsidRPr="00FD783B">
        <w:t xml:space="preserve">ceramic products </w:t>
      </w:r>
      <w:r w:rsidR="007F01A9" w:rsidRPr="00FD783B">
        <w:t xml:space="preserve">is a </w:t>
      </w:r>
      <w:r w:rsidRPr="00FD783B">
        <w:t xml:space="preserve">more favorable </w:t>
      </w:r>
      <w:r w:rsidR="007F01A9" w:rsidRPr="00FD783B">
        <w:t xml:space="preserve">approach for the sludge </w:t>
      </w:r>
      <w:r w:rsidR="00C830C0" w:rsidRPr="00FD783B">
        <w:t>stabilization</w:t>
      </w:r>
      <w:r w:rsidR="007F01A9" w:rsidRPr="00FD783B">
        <w:t>.</w:t>
      </w:r>
    </w:p>
    <w:p w14:paraId="346E3AB0" w14:textId="54EEA82F" w:rsidR="000D7881" w:rsidRPr="00FD783B" w:rsidRDefault="00990144" w:rsidP="00623B10">
      <w:pPr>
        <w:snapToGrid w:val="0"/>
        <w:spacing w:line="480" w:lineRule="auto"/>
        <w:jc w:val="center"/>
      </w:pPr>
      <w:r w:rsidRPr="00FD783B">
        <w:object w:dxaOrig="7055" w:dyaOrig="5053" w14:anchorId="5C6E9A6C">
          <v:shape id="_x0000_i1026" type="#_x0000_t75" style="width:328.2pt;height:214.2pt" o:ole="">
            <v:imagedata r:id="rId16" o:title=""/>
          </v:shape>
          <o:OLEObject Type="Embed" ProgID="Origin50.Graph" ShapeID="_x0000_i1026" DrawAspect="Content" ObjectID="_1739807257" r:id="rId17"/>
        </w:object>
      </w:r>
    </w:p>
    <w:p w14:paraId="1AAB7513" w14:textId="45519F53" w:rsidR="000D7881" w:rsidRPr="00FD783B" w:rsidRDefault="000D7881" w:rsidP="00623B10">
      <w:pPr>
        <w:snapToGrid w:val="0"/>
        <w:spacing w:line="480" w:lineRule="auto"/>
        <w:jc w:val="center"/>
        <w:outlineLvl w:val="3"/>
      </w:pPr>
      <w:r w:rsidRPr="00FD783B">
        <w:rPr>
          <w:rFonts w:eastAsia="Calibri"/>
          <w:bCs/>
        </w:rPr>
        <w:t xml:space="preserve">Fig. </w:t>
      </w:r>
      <w:r w:rsidR="00E4452C">
        <w:rPr>
          <w:rFonts w:eastAsia="Calibri"/>
          <w:bCs/>
        </w:rPr>
        <w:t>4</w:t>
      </w:r>
      <w:r w:rsidRPr="00FD783B">
        <w:rPr>
          <w:rFonts w:eastAsia="Calibri"/>
          <w:bCs/>
        </w:rPr>
        <w:t>. Comparison of w</w:t>
      </w:r>
      <w:r w:rsidRPr="00FD783B">
        <w:t>ater absorption and compressive strength between the RS‒40 and THS‒40 tiles.</w:t>
      </w:r>
    </w:p>
    <w:p w14:paraId="3EB70E6D" w14:textId="77777777" w:rsidR="000D7881" w:rsidRPr="00FD783B" w:rsidRDefault="000D7881" w:rsidP="00842A4D">
      <w:pPr>
        <w:snapToGrid w:val="0"/>
        <w:spacing w:line="480" w:lineRule="auto"/>
        <w:rPr>
          <w:rFonts w:eastAsia="等线"/>
          <w:b/>
          <w:bCs/>
        </w:rPr>
      </w:pPr>
    </w:p>
    <w:p w14:paraId="0FB1521A" w14:textId="77777777" w:rsidR="000D7881" w:rsidRPr="00FD783B" w:rsidRDefault="000D7881" w:rsidP="00623B10">
      <w:pPr>
        <w:snapToGrid w:val="0"/>
        <w:spacing w:line="480" w:lineRule="auto"/>
        <w:outlineLvl w:val="2"/>
        <w:rPr>
          <w:rFonts w:eastAsia="等线"/>
          <w:b/>
          <w:bCs/>
        </w:rPr>
      </w:pPr>
      <w:r w:rsidRPr="00FD783B">
        <w:rPr>
          <w:rFonts w:eastAsia="等线"/>
          <w:b/>
          <w:bCs/>
        </w:rPr>
        <w:t>3.2.4 Leaching of heavy metals</w:t>
      </w:r>
    </w:p>
    <w:p w14:paraId="20A77581" w14:textId="1CAF27DB" w:rsidR="000D7881" w:rsidRPr="00FD783B" w:rsidRDefault="000D7881" w:rsidP="00623B10">
      <w:pPr>
        <w:snapToGrid w:val="0"/>
        <w:spacing w:line="480" w:lineRule="auto"/>
        <w:ind w:firstLineChars="200" w:firstLine="480"/>
      </w:pPr>
      <w:r w:rsidRPr="00FD783B">
        <w:rPr>
          <w:rFonts w:eastAsia="等线"/>
        </w:rPr>
        <w:t>The waste</w:t>
      </w:r>
      <w:r w:rsidR="007C7534" w:rsidRPr="00FD783B">
        <w:rPr>
          <w:rFonts w:eastAsia="等线"/>
        </w:rPr>
        <w:t>water</w:t>
      </w:r>
      <w:r w:rsidRPr="00FD783B">
        <w:rPr>
          <w:rFonts w:eastAsia="等线"/>
        </w:rPr>
        <w:t xml:space="preserve"> sludge contained a trace amount of heavy metals, mainly As, Ba, Cr, Cu, Pb, and Zn </w:t>
      </w:r>
      <w:bookmarkStart w:id="92" w:name="OLE_LINK16"/>
      <w:r w:rsidRPr="00FD783B">
        <w:t>(Table S1)</w:t>
      </w:r>
      <w:bookmarkEnd w:id="92"/>
      <w:r w:rsidRPr="00FD783B">
        <w:rPr>
          <w:rFonts w:eastAsia="等线"/>
        </w:rPr>
        <w:t xml:space="preserve">, </w:t>
      </w:r>
      <w:r w:rsidR="004D5AEC" w:rsidRPr="004D5AEC">
        <w:rPr>
          <w:rFonts w:eastAsia="等线"/>
        </w:rPr>
        <w:t>and its land application and disposal, without proper treatment, may cause potential soil contamination and long-term food safety concerns</w:t>
      </w:r>
      <w:r w:rsidR="007149DA">
        <w:t xml:space="preserve"> </w:t>
      </w:r>
      <w:bookmarkStart w:id="93" w:name="_Hlk128560237"/>
      <w:r w:rsidR="005E7FB7" w:rsidRPr="005E7FB7">
        <w:t>(</w:t>
      </w:r>
      <w:proofErr w:type="spellStart"/>
      <w:r w:rsidR="005E7FB7" w:rsidRPr="005E7FB7">
        <w:t>Turan</w:t>
      </w:r>
      <w:proofErr w:type="spellEnd"/>
      <w:r w:rsidR="005E7FB7" w:rsidRPr="005E7FB7">
        <w:t>, 2021; Zhang et al., 2016a; Zubair et al., 2021)</w:t>
      </w:r>
      <w:bookmarkEnd w:id="93"/>
      <w:r w:rsidR="00AE3F41">
        <w:t xml:space="preserve">. </w:t>
      </w:r>
      <w:r w:rsidR="00AE3F41">
        <w:rPr>
          <w:rFonts w:eastAsia="等线"/>
        </w:rPr>
        <w:t>These heavy metals</w:t>
      </w:r>
      <w:r w:rsidR="00AE3F41" w:rsidRPr="00FD783B">
        <w:rPr>
          <w:rFonts w:eastAsia="等线"/>
        </w:rPr>
        <w:t xml:space="preserve"> </w:t>
      </w:r>
      <w:r w:rsidRPr="00FD783B">
        <w:rPr>
          <w:rFonts w:eastAsia="等线"/>
        </w:rPr>
        <w:t xml:space="preserve">were not detected in montmorillonite. The leaching potentials of heavy metals from THS in the sintered ceramic products were thoroughly evaluated following the </w:t>
      </w:r>
      <w:bookmarkStart w:id="94" w:name="OLE_LINK46"/>
      <w:bookmarkStart w:id="95" w:name="OLE_LINK45"/>
      <w:r w:rsidRPr="00FD783B">
        <w:t xml:space="preserve">TCLP 1311 </w:t>
      </w:r>
      <w:bookmarkEnd w:id="94"/>
      <w:r w:rsidRPr="00FD783B">
        <w:t>method</w:t>
      </w:r>
      <w:bookmarkEnd w:id="95"/>
      <w:r w:rsidRPr="00FD783B">
        <w:t xml:space="preserve"> (Table 2). When sintered at 1200 </w:t>
      </w:r>
      <w:proofErr w:type="spellStart"/>
      <w:r w:rsidR="00654BB4" w:rsidRPr="00654BB4">
        <w:rPr>
          <w:vertAlign w:val="superscript"/>
        </w:rPr>
        <w:t>o</w:t>
      </w:r>
      <w:r w:rsidR="00654BB4" w:rsidRPr="00654BB4">
        <w:t>C</w:t>
      </w:r>
      <w:proofErr w:type="spellEnd"/>
      <w:r w:rsidRPr="00FD783B">
        <w:t xml:space="preserve">, the tiles of the different THS dosing ratios all had limited leaching. Actually, for the tile specimens with a THS dosing ratio of 40% or lower, no metal leaching was detected by the TCLP tests. As expected, the leaching potential of heavy metals from the sintered tiles decreased as the temperature </w:t>
      </w:r>
      <w:r w:rsidR="00E265A5" w:rsidRPr="00FD783B">
        <w:t xml:space="preserve">increased </w:t>
      </w:r>
      <w:r w:rsidRPr="00FD783B">
        <w:t xml:space="preserve">and thus, a temperature of 1200 </w:t>
      </w:r>
      <w:proofErr w:type="spellStart"/>
      <w:r w:rsidR="00654BB4" w:rsidRPr="00654BB4">
        <w:rPr>
          <w:vertAlign w:val="superscript"/>
        </w:rPr>
        <w:t>o</w:t>
      </w:r>
      <w:r w:rsidR="00654BB4" w:rsidRPr="00654BB4">
        <w:t>C</w:t>
      </w:r>
      <w:proofErr w:type="spellEnd"/>
      <w:r w:rsidRPr="00FD783B">
        <w:t xml:space="preserve"> is recommended for the sintering </w:t>
      </w:r>
      <w:r w:rsidRPr="00FD783B">
        <w:lastRenderedPageBreak/>
        <w:t xml:space="preserve">process. In term of the leaching risk of a </w:t>
      </w:r>
      <w:r w:rsidR="00D83FF5" w:rsidRPr="00FD783B">
        <w:t>range</w:t>
      </w:r>
      <w:r w:rsidRPr="00FD783B">
        <w:t xml:space="preserve"> of heavy metals, mainly As, Cd, and Pb, the ceramic products sintered at 1200 </w:t>
      </w:r>
      <w:proofErr w:type="spellStart"/>
      <w:r w:rsidR="00654BB4" w:rsidRPr="00654BB4">
        <w:rPr>
          <w:vertAlign w:val="superscript"/>
        </w:rPr>
        <w:t>o</w:t>
      </w:r>
      <w:r w:rsidR="00654BB4" w:rsidRPr="00654BB4">
        <w:t>C</w:t>
      </w:r>
      <w:proofErr w:type="spellEnd"/>
      <w:r w:rsidRPr="00FD783B">
        <w:t xml:space="preserve"> can well meet both the </w:t>
      </w:r>
      <w:bookmarkStart w:id="96" w:name="OLE_LINK59"/>
      <w:r w:rsidRPr="00FD783B">
        <w:t xml:space="preserve">regulation </w:t>
      </w:r>
      <w:bookmarkEnd w:id="96"/>
      <w:r w:rsidRPr="00FD783B">
        <w:t xml:space="preserve">of domestic waste disposal by Chinese </w:t>
      </w:r>
      <w:bookmarkStart w:id="97" w:name="OLE_LINK66"/>
      <w:r w:rsidRPr="00FD783B">
        <w:t xml:space="preserve">GB 16889 </w:t>
      </w:r>
      <w:r w:rsidRPr="00FD783B">
        <w:rPr>
          <w:noProof/>
        </w:rPr>
        <w:t>(GB 16889, 2008)</w:t>
      </w:r>
      <w:r w:rsidRPr="00FD783B">
        <w:t xml:space="preserve"> </w:t>
      </w:r>
      <w:bookmarkEnd w:id="97"/>
      <w:r w:rsidRPr="00FD783B">
        <w:t xml:space="preserve">and identification of hazardous wastes by </w:t>
      </w:r>
      <w:bookmarkStart w:id="98" w:name="OLE_LINK68"/>
      <w:r w:rsidRPr="00FD783B">
        <w:t xml:space="preserve">U.S. EPA 261 </w:t>
      </w:r>
      <w:r w:rsidRPr="00FD783B">
        <w:rPr>
          <w:noProof/>
        </w:rPr>
        <w:t>(EPA, 1991)</w:t>
      </w:r>
      <w:bookmarkEnd w:id="98"/>
      <w:r w:rsidRPr="00FD783B">
        <w:t xml:space="preserve">. In other words, sintering the THS waste with clay at 1200 </w:t>
      </w:r>
      <w:proofErr w:type="spellStart"/>
      <w:r w:rsidR="00654BB4" w:rsidRPr="00654BB4">
        <w:rPr>
          <w:vertAlign w:val="superscript"/>
        </w:rPr>
        <w:t>o</w:t>
      </w:r>
      <w:r w:rsidR="00654BB4" w:rsidRPr="00654BB4">
        <w:t>C</w:t>
      </w:r>
      <w:proofErr w:type="spellEnd"/>
      <w:r w:rsidRPr="00FD783B">
        <w:t xml:space="preserve"> can fully restrict the </w:t>
      </w:r>
      <w:r w:rsidR="00D83FF5" w:rsidRPr="00FD783B">
        <w:t xml:space="preserve">potential </w:t>
      </w:r>
      <w:r w:rsidRPr="00FD783B">
        <w:t xml:space="preserve">leaching of heavy metals. When applying the sintered tiles as the construction materials, according to the tests of European NEN standard, referring to the 64-d placement in the acid environment at pH 4 </w:t>
      </w:r>
      <w:r w:rsidRPr="00FD783B">
        <w:rPr>
          <w:noProof/>
        </w:rPr>
        <w:t>(NEN, 1995)</w:t>
      </w:r>
      <w:r w:rsidRPr="00FD783B">
        <w:t xml:space="preserve">, the leaching of heavy metals followed the similar trend as that of the TCLP measurement. The concentrations of all detected heavy metals are far below the regulation limits, which further confirmed the reliable stabilization of THS heavy metals in the ceramic </w:t>
      </w:r>
      <w:r w:rsidR="00D83FF5" w:rsidRPr="00FD783B">
        <w:t>materials</w:t>
      </w:r>
      <w:r w:rsidRPr="00FD783B">
        <w:t xml:space="preserve">. The superb control of heavy metals in the sintered products agrees well with the results of previous studies </w:t>
      </w:r>
      <w:r w:rsidR="00F97FC7" w:rsidRPr="00FD783B">
        <w:rPr>
          <w:noProof/>
        </w:rPr>
        <w:t>(</w:t>
      </w:r>
      <w:r w:rsidR="00F40E24" w:rsidRPr="00FD783B">
        <w:rPr>
          <w:noProof/>
        </w:rPr>
        <w:t xml:space="preserve">Cusidó and Cremades, 2012; </w:t>
      </w:r>
      <w:r w:rsidR="00F97FC7" w:rsidRPr="00FD783B">
        <w:rPr>
          <w:noProof/>
        </w:rPr>
        <w:t>Cusidó et al., 2015; Qi et al., 2010; Vashistha et al., 2019)</w:t>
      </w:r>
      <w:r w:rsidRPr="00FD783B">
        <w:t xml:space="preserve">. In general, a higher THS incorporation ratio increased the probability of tile collapse and metal leaching, as indicated by the leaching concentrations of dominant anions such as Al, Fe, and Mg (Table S2), while a higher sintering temperature </w:t>
      </w:r>
      <w:r w:rsidR="00D83FF5" w:rsidRPr="00FD783B">
        <w:t xml:space="preserve">effectively </w:t>
      </w:r>
      <w:r w:rsidRPr="00FD783B">
        <w:t xml:space="preserve">strengthened </w:t>
      </w:r>
      <w:r w:rsidR="00D83FF5" w:rsidRPr="00FD783B">
        <w:t xml:space="preserve">the </w:t>
      </w:r>
      <w:r w:rsidRPr="00FD783B">
        <w:t xml:space="preserve">tile structure and restrict the </w:t>
      </w:r>
      <w:r w:rsidR="00D83FF5" w:rsidRPr="00FD783B">
        <w:t xml:space="preserve">metal </w:t>
      </w:r>
      <w:r w:rsidRPr="00FD783B">
        <w:t xml:space="preserve">leaching potential. By sintering at 1200 </w:t>
      </w:r>
      <w:proofErr w:type="spellStart"/>
      <w:r w:rsidR="00654BB4" w:rsidRPr="00654BB4">
        <w:rPr>
          <w:vertAlign w:val="superscript"/>
        </w:rPr>
        <w:t>o</w:t>
      </w:r>
      <w:r w:rsidR="00654BB4" w:rsidRPr="00654BB4">
        <w:t>C</w:t>
      </w:r>
      <w:proofErr w:type="spellEnd"/>
      <w:r w:rsidRPr="00FD783B">
        <w:t xml:space="preserve"> with </w:t>
      </w:r>
      <w:r w:rsidR="00D83FF5" w:rsidRPr="00FD783B">
        <w:t xml:space="preserve">a THS dosing ratio of </w:t>
      </w:r>
      <w:r w:rsidRPr="00FD783B">
        <w:t xml:space="preserve">40% </w:t>
      </w:r>
      <w:r w:rsidR="00D83FF5" w:rsidRPr="00FD783B">
        <w:t xml:space="preserve">with </w:t>
      </w:r>
      <w:r w:rsidRPr="00FD783B">
        <w:t xml:space="preserve">montmorillonite, </w:t>
      </w:r>
      <w:r w:rsidR="00D83FF5" w:rsidRPr="00FD783B">
        <w:t xml:space="preserve">the </w:t>
      </w:r>
      <w:r w:rsidRPr="00FD783B">
        <w:t xml:space="preserve">ceramic tiles in construction </w:t>
      </w:r>
      <w:r w:rsidR="00D83FF5" w:rsidRPr="00FD783B">
        <w:t xml:space="preserve">applications </w:t>
      </w:r>
      <w:r w:rsidRPr="00FD783B">
        <w:t xml:space="preserve">pose no hazard risk to the consumers, public, and environment. </w:t>
      </w:r>
    </w:p>
    <w:p w14:paraId="5353A955" w14:textId="77777777" w:rsidR="000D7881" w:rsidRPr="00FD783B" w:rsidRDefault="000D7881" w:rsidP="00623B10">
      <w:pPr>
        <w:snapToGrid w:val="0"/>
        <w:spacing w:line="480" w:lineRule="auto"/>
        <w:ind w:firstLine="482"/>
        <w:sectPr w:rsidR="000D7881" w:rsidRPr="00FD783B" w:rsidSect="00623B10">
          <w:pgSz w:w="11906" w:h="16838"/>
          <w:pgMar w:top="1440" w:right="1440" w:bottom="1440" w:left="1440" w:header="851" w:footer="851" w:gutter="0"/>
          <w:lnNumType w:countBy="1" w:restart="continuous"/>
          <w:cols w:space="425"/>
          <w:docGrid w:type="lines" w:linePitch="326"/>
        </w:sectPr>
      </w:pPr>
    </w:p>
    <w:p w14:paraId="4B94090E" w14:textId="581DCEAF" w:rsidR="000D7881" w:rsidRPr="00FD783B" w:rsidRDefault="000D7881" w:rsidP="00623B10">
      <w:pPr>
        <w:pStyle w:val="ac"/>
        <w:snapToGrid w:val="0"/>
        <w:outlineLvl w:val="3"/>
        <w:rPr>
          <w:rFonts w:eastAsiaTheme="minorEastAsia"/>
        </w:rPr>
      </w:pPr>
      <w:bookmarkStart w:id="99" w:name="_Hlk117433885"/>
      <w:r w:rsidRPr="00FD783B">
        <w:lastRenderedPageBreak/>
        <w:t xml:space="preserve">Table 2. </w:t>
      </w:r>
      <w:bookmarkStart w:id="100" w:name="_Hlk116413581"/>
      <w:r w:rsidRPr="00FD783B">
        <w:t>Leaching potentials of heavy metals from the sintered ceramic tiles</w:t>
      </w:r>
      <w:bookmarkEnd w:id="100"/>
      <w:r w:rsidRPr="00FD783B">
        <w:t xml:space="preserve"> with the different THS dosing ratios and the different sintering temperatures, tested in accordance with the TCLP</w:t>
      </w:r>
      <w:r w:rsidRPr="00FD783B">
        <w:rPr>
          <w:rFonts w:eastAsiaTheme="minorEastAsia"/>
        </w:rPr>
        <w:t xml:space="preserve"> 1311 method and the NEN 7345 standard.</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765"/>
        <w:gridCol w:w="1107"/>
        <w:gridCol w:w="771"/>
        <w:gridCol w:w="771"/>
        <w:gridCol w:w="1108"/>
        <w:gridCol w:w="771"/>
        <w:gridCol w:w="771"/>
        <w:gridCol w:w="917"/>
        <w:gridCol w:w="181"/>
      </w:tblGrid>
      <w:tr w:rsidR="00501606" w:rsidRPr="00FD783B" w14:paraId="14EA6118" w14:textId="77777777" w:rsidTr="007544F7">
        <w:tc>
          <w:tcPr>
            <w:tcW w:w="1033" w:type="pct"/>
            <w:tcBorders>
              <w:top w:val="single" w:sz="12" w:space="0" w:color="auto"/>
              <w:bottom w:val="single" w:sz="12" w:space="0" w:color="auto"/>
            </w:tcBorders>
            <w:shd w:val="clear" w:color="auto" w:fill="auto"/>
          </w:tcPr>
          <w:p w14:paraId="526AB901" w14:textId="77777777" w:rsidR="00501606" w:rsidRPr="00FD783B" w:rsidRDefault="00501606" w:rsidP="007544F7">
            <w:pPr>
              <w:adjustRightInd w:val="0"/>
              <w:snapToGrid w:val="0"/>
              <w:spacing w:line="360" w:lineRule="auto"/>
              <w:rPr>
                <w:rFonts w:ascii="Times New Roman" w:eastAsia="等线" w:hAnsi="Times New Roman"/>
                <w:sz w:val="20"/>
                <w:szCs w:val="20"/>
              </w:rPr>
            </w:pPr>
            <w:bookmarkStart w:id="101" w:name="_Hlk116413301"/>
            <w:r w:rsidRPr="00FD783B">
              <w:rPr>
                <w:rFonts w:ascii="Times New Roman" w:eastAsia="等线" w:hAnsi="Times New Roman"/>
                <w:sz w:val="20"/>
                <w:szCs w:val="20"/>
              </w:rPr>
              <w:t>Sample</w:t>
            </w:r>
          </w:p>
        </w:tc>
        <w:tc>
          <w:tcPr>
            <w:tcW w:w="424" w:type="pct"/>
            <w:tcBorders>
              <w:top w:val="single" w:sz="12" w:space="0" w:color="auto"/>
              <w:bottom w:val="single" w:sz="12" w:space="0" w:color="auto"/>
            </w:tcBorders>
            <w:shd w:val="clear" w:color="auto" w:fill="auto"/>
            <w:vAlign w:val="bottom"/>
          </w:tcPr>
          <w:p w14:paraId="63483B7F"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As</w:t>
            </w:r>
          </w:p>
        </w:tc>
        <w:tc>
          <w:tcPr>
            <w:tcW w:w="613" w:type="pct"/>
            <w:tcBorders>
              <w:top w:val="single" w:sz="12" w:space="0" w:color="auto"/>
              <w:bottom w:val="single" w:sz="12" w:space="0" w:color="auto"/>
            </w:tcBorders>
            <w:shd w:val="clear" w:color="auto" w:fill="auto"/>
            <w:vAlign w:val="bottom"/>
          </w:tcPr>
          <w:p w14:paraId="651F52B2"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Ba</w:t>
            </w:r>
          </w:p>
        </w:tc>
        <w:tc>
          <w:tcPr>
            <w:tcW w:w="427" w:type="pct"/>
            <w:tcBorders>
              <w:top w:val="single" w:sz="12" w:space="0" w:color="auto"/>
              <w:bottom w:val="single" w:sz="12" w:space="0" w:color="auto"/>
            </w:tcBorders>
            <w:shd w:val="clear" w:color="auto" w:fill="auto"/>
            <w:vAlign w:val="bottom"/>
          </w:tcPr>
          <w:p w14:paraId="7DB47584"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Cd</w:t>
            </w:r>
          </w:p>
        </w:tc>
        <w:tc>
          <w:tcPr>
            <w:tcW w:w="427" w:type="pct"/>
            <w:tcBorders>
              <w:top w:val="single" w:sz="12" w:space="0" w:color="auto"/>
              <w:bottom w:val="single" w:sz="12" w:space="0" w:color="auto"/>
            </w:tcBorders>
            <w:shd w:val="clear" w:color="auto" w:fill="auto"/>
            <w:vAlign w:val="bottom"/>
          </w:tcPr>
          <w:p w14:paraId="0F0D36A7"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Cr</w:t>
            </w:r>
          </w:p>
        </w:tc>
        <w:tc>
          <w:tcPr>
            <w:tcW w:w="614" w:type="pct"/>
            <w:tcBorders>
              <w:top w:val="single" w:sz="12" w:space="0" w:color="auto"/>
              <w:bottom w:val="single" w:sz="12" w:space="0" w:color="auto"/>
            </w:tcBorders>
            <w:shd w:val="clear" w:color="auto" w:fill="auto"/>
            <w:vAlign w:val="bottom"/>
          </w:tcPr>
          <w:p w14:paraId="08F65526"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Cu</w:t>
            </w:r>
          </w:p>
        </w:tc>
        <w:tc>
          <w:tcPr>
            <w:tcW w:w="427" w:type="pct"/>
            <w:tcBorders>
              <w:top w:val="single" w:sz="12" w:space="0" w:color="auto"/>
              <w:bottom w:val="single" w:sz="12" w:space="0" w:color="auto"/>
            </w:tcBorders>
            <w:shd w:val="clear" w:color="auto" w:fill="auto"/>
            <w:vAlign w:val="bottom"/>
          </w:tcPr>
          <w:p w14:paraId="6D2D5A49"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Ni</w:t>
            </w:r>
          </w:p>
        </w:tc>
        <w:tc>
          <w:tcPr>
            <w:tcW w:w="427" w:type="pct"/>
            <w:tcBorders>
              <w:top w:val="single" w:sz="12" w:space="0" w:color="auto"/>
              <w:bottom w:val="single" w:sz="12" w:space="0" w:color="auto"/>
            </w:tcBorders>
            <w:shd w:val="clear" w:color="auto" w:fill="auto"/>
            <w:vAlign w:val="bottom"/>
          </w:tcPr>
          <w:p w14:paraId="7FED874B"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Pb</w:t>
            </w:r>
          </w:p>
        </w:tc>
        <w:tc>
          <w:tcPr>
            <w:tcW w:w="608" w:type="pct"/>
            <w:gridSpan w:val="2"/>
            <w:tcBorders>
              <w:top w:val="single" w:sz="12" w:space="0" w:color="auto"/>
              <w:bottom w:val="single" w:sz="12" w:space="0" w:color="auto"/>
            </w:tcBorders>
            <w:shd w:val="clear" w:color="auto" w:fill="auto"/>
            <w:vAlign w:val="bottom"/>
          </w:tcPr>
          <w:p w14:paraId="566C5449"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hAnsi="Times New Roman"/>
                <w:color w:val="000000"/>
                <w:sz w:val="20"/>
                <w:szCs w:val="20"/>
              </w:rPr>
              <w:t>Zn</w:t>
            </w:r>
          </w:p>
        </w:tc>
      </w:tr>
      <w:bookmarkEnd w:id="101"/>
      <w:tr w:rsidR="00501606" w:rsidRPr="00FD783B" w14:paraId="310D67C6" w14:textId="77777777" w:rsidTr="007544F7">
        <w:trPr>
          <w:gridAfter w:val="1"/>
          <w:wAfter w:w="100" w:type="pct"/>
        </w:trPr>
        <w:tc>
          <w:tcPr>
            <w:tcW w:w="4900" w:type="pct"/>
            <w:gridSpan w:val="9"/>
            <w:tcBorders>
              <w:top w:val="nil"/>
              <w:left w:val="nil"/>
              <w:bottom w:val="nil"/>
              <w:right w:val="nil"/>
            </w:tcBorders>
            <w:shd w:val="clear" w:color="auto" w:fill="auto"/>
          </w:tcPr>
          <w:p w14:paraId="7E9B90C2"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eastAsia="等线" w:hAnsi="Times New Roman"/>
                <w:sz w:val="20"/>
                <w:szCs w:val="20"/>
              </w:rPr>
              <w:t xml:space="preserve">Tiles with different THS addition (TCLP 1311 method) </w:t>
            </w:r>
            <w:r w:rsidRPr="00FD783B">
              <w:rPr>
                <w:rFonts w:ascii="Times New Roman" w:eastAsia="等线" w:hAnsi="Times New Roman"/>
                <w:sz w:val="20"/>
                <w:szCs w:val="20"/>
                <w:vertAlign w:val="superscript"/>
              </w:rPr>
              <w:t>1</w:t>
            </w:r>
          </w:p>
        </w:tc>
      </w:tr>
      <w:tr w:rsidR="00501606" w:rsidRPr="00FD783B" w14:paraId="369B5F19" w14:textId="77777777" w:rsidTr="007544F7">
        <w:tc>
          <w:tcPr>
            <w:tcW w:w="1033" w:type="pct"/>
            <w:tcBorders>
              <w:top w:val="nil"/>
              <w:bottom w:val="nil"/>
            </w:tcBorders>
            <w:shd w:val="clear" w:color="auto" w:fill="auto"/>
            <w:vAlign w:val="bottom"/>
          </w:tcPr>
          <w:p w14:paraId="6A52F629"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THS‒0</w:t>
            </w:r>
          </w:p>
        </w:tc>
        <w:tc>
          <w:tcPr>
            <w:tcW w:w="424" w:type="pct"/>
            <w:tcBorders>
              <w:top w:val="nil"/>
              <w:bottom w:val="nil"/>
            </w:tcBorders>
            <w:shd w:val="clear" w:color="auto" w:fill="auto"/>
          </w:tcPr>
          <w:p w14:paraId="0BBA7DEE"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tcBorders>
              <w:top w:val="nil"/>
              <w:bottom w:val="nil"/>
            </w:tcBorders>
            <w:shd w:val="clear" w:color="auto" w:fill="auto"/>
          </w:tcPr>
          <w:p w14:paraId="0C7DD0AE"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bottom w:val="nil"/>
            </w:tcBorders>
            <w:shd w:val="clear" w:color="auto" w:fill="auto"/>
          </w:tcPr>
          <w:p w14:paraId="51BB660C"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bottom w:val="nil"/>
            </w:tcBorders>
            <w:shd w:val="clear" w:color="auto" w:fill="auto"/>
          </w:tcPr>
          <w:p w14:paraId="1D46B51A"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tcBorders>
              <w:top w:val="nil"/>
              <w:bottom w:val="nil"/>
            </w:tcBorders>
            <w:shd w:val="clear" w:color="auto" w:fill="auto"/>
          </w:tcPr>
          <w:p w14:paraId="3C9E58A6"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bottom w:val="nil"/>
            </w:tcBorders>
            <w:shd w:val="clear" w:color="auto" w:fill="auto"/>
          </w:tcPr>
          <w:p w14:paraId="21BBA69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bottom w:val="nil"/>
            </w:tcBorders>
            <w:shd w:val="clear" w:color="auto" w:fill="auto"/>
          </w:tcPr>
          <w:p w14:paraId="36F35B08"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tcBorders>
              <w:top w:val="nil"/>
              <w:bottom w:val="nil"/>
            </w:tcBorders>
            <w:shd w:val="clear" w:color="auto" w:fill="auto"/>
          </w:tcPr>
          <w:p w14:paraId="30F809C4"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r>
      <w:tr w:rsidR="00501606" w:rsidRPr="00FD783B" w14:paraId="16D35B3E" w14:textId="77777777" w:rsidTr="007544F7">
        <w:tc>
          <w:tcPr>
            <w:tcW w:w="1033" w:type="pct"/>
            <w:tcBorders>
              <w:top w:val="nil"/>
            </w:tcBorders>
            <w:shd w:val="clear" w:color="auto" w:fill="auto"/>
            <w:vAlign w:val="bottom"/>
          </w:tcPr>
          <w:p w14:paraId="019C1315"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THS‒20</w:t>
            </w:r>
          </w:p>
        </w:tc>
        <w:tc>
          <w:tcPr>
            <w:tcW w:w="424" w:type="pct"/>
            <w:tcBorders>
              <w:top w:val="nil"/>
            </w:tcBorders>
            <w:shd w:val="clear" w:color="auto" w:fill="auto"/>
          </w:tcPr>
          <w:p w14:paraId="5B94CDAA"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tcBorders>
              <w:top w:val="nil"/>
            </w:tcBorders>
            <w:shd w:val="clear" w:color="auto" w:fill="auto"/>
          </w:tcPr>
          <w:p w14:paraId="76A2E612"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tcBorders>
            <w:shd w:val="clear" w:color="auto" w:fill="auto"/>
          </w:tcPr>
          <w:p w14:paraId="62613ABF"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tcBorders>
            <w:shd w:val="clear" w:color="auto" w:fill="auto"/>
          </w:tcPr>
          <w:p w14:paraId="4717951E"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tcBorders>
              <w:top w:val="nil"/>
            </w:tcBorders>
            <w:shd w:val="clear" w:color="auto" w:fill="auto"/>
          </w:tcPr>
          <w:p w14:paraId="6EC070A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tcBorders>
            <w:shd w:val="clear" w:color="auto" w:fill="auto"/>
          </w:tcPr>
          <w:p w14:paraId="67AF48FA"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tcBorders>
              <w:top w:val="nil"/>
            </w:tcBorders>
            <w:shd w:val="clear" w:color="auto" w:fill="auto"/>
          </w:tcPr>
          <w:p w14:paraId="4A8F9E9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tcBorders>
              <w:top w:val="nil"/>
            </w:tcBorders>
            <w:shd w:val="clear" w:color="auto" w:fill="auto"/>
          </w:tcPr>
          <w:p w14:paraId="02C33BA2"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r>
      <w:tr w:rsidR="00501606" w:rsidRPr="00FD783B" w14:paraId="69E67111" w14:textId="77777777" w:rsidTr="007544F7">
        <w:tc>
          <w:tcPr>
            <w:tcW w:w="1033" w:type="pct"/>
            <w:shd w:val="clear" w:color="auto" w:fill="auto"/>
            <w:vAlign w:val="bottom"/>
          </w:tcPr>
          <w:p w14:paraId="4560258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THS‒40</w:t>
            </w:r>
          </w:p>
        </w:tc>
        <w:tc>
          <w:tcPr>
            <w:tcW w:w="424" w:type="pct"/>
            <w:shd w:val="clear" w:color="auto" w:fill="auto"/>
          </w:tcPr>
          <w:p w14:paraId="148B976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4A3B7C6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6720EB56"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74F1339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6455BAB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47E7FC08"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29BC8FAE"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41E0D8B5"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r>
      <w:tr w:rsidR="00501606" w:rsidRPr="00FD783B" w14:paraId="186C5B8C" w14:textId="77777777" w:rsidTr="007544F7">
        <w:tc>
          <w:tcPr>
            <w:tcW w:w="1033" w:type="pct"/>
            <w:shd w:val="clear" w:color="auto" w:fill="auto"/>
            <w:vAlign w:val="bottom"/>
          </w:tcPr>
          <w:p w14:paraId="488C86CC"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THS‒60</w:t>
            </w:r>
          </w:p>
        </w:tc>
        <w:tc>
          <w:tcPr>
            <w:tcW w:w="424" w:type="pct"/>
            <w:shd w:val="clear" w:color="auto" w:fill="auto"/>
          </w:tcPr>
          <w:p w14:paraId="521C0FF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199E0227"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5DC55035"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75A2EA60"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06065F0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3D77AC90"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3323EC2D"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0428485A"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r>
      <w:tr w:rsidR="00501606" w:rsidRPr="00FD783B" w14:paraId="6AEBDE3C" w14:textId="77777777" w:rsidTr="007544F7">
        <w:tc>
          <w:tcPr>
            <w:tcW w:w="1033" w:type="pct"/>
            <w:shd w:val="clear" w:color="auto" w:fill="auto"/>
            <w:vAlign w:val="bottom"/>
          </w:tcPr>
          <w:p w14:paraId="1000BBD7"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THS‒80</w:t>
            </w:r>
          </w:p>
        </w:tc>
        <w:tc>
          <w:tcPr>
            <w:tcW w:w="424" w:type="pct"/>
            <w:shd w:val="clear" w:color="auto" w:fill="auto"/>
          </w:tcPr>
          <w:p w14:paraId="0732E081"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613" w:type="pct"/>
            <w:shd w:val="clear" w:color="auto" w:fill="auto"/>
          </w:tcPr>
          <w:p w14:paraId="45DB6D95"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0.1</w:t>
            </w:r>
          </w:p>
        </w:tc>
        <w:tc>
          <w:tcPr>
            <w:tcW w:w="427" w:type="pct"/>
            <w:shd w:val="clear" w:color="auto" w:fill="auto"/>
          </w:tcPr>
          <w:p w14:paraId="0E07DA3A"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427" w:type="pct"/>
            <w:shd w:val="clear" w:color="auto" w:fill="auto"/>
          </w:tcPr>
          <w:p w14:paraId="5E4BA887"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614" w:type="pct"/>
            <w:shd w:val="clear" w:color="auto" w:fill="auto"/>
          </w:tcPr>
          <w:p w14:paraId="178D2B7F"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0.1</w:t>
            </w:r>
          </w:p>
        </w:tc>
        <w:tc>
          <w:tcPr>
            <w:tcW w:w="427" w:type="pct"/>
            <w:shd w:val="clear" w:color="auto" w:fill="auto"/>
          </w:tcPr>
          <w:p w14:paraId="1DCA628F"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427" w:type="pct"/>
            <w:shd w:val="clear" w:color="auto" w:fill="auto"/>
          </w:tcPr>
          <w:p w14:paraId="7833BCFF"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73E6738D"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0.2</w:t>
            </w:r>
          </w:p>
        </w:tc>
      </w:tr>
      <w:tr w:rsidR="00501606" w:rsidRPr="00FD783B" w14:paraId="44BE385E" w14:textId="77777777" w:rsidTr="007544F7">
        <w:tc>
          <w:tcPr>
            <w:tcW w:w="1033" w:type="pct"/>
            <w:shd w:val="clear" w:color="auto" w:fill="auto"/>
            <w:vAlign w:val="bottom"/>
          </w:tcPr>
          <w:p w14:paraId="75B980EE"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color w:val="000000"/>
                <w:sz w:val="20"/>
                <w:szCs w:val="20"/>
              </w:rPr>
              <w:t>THS‒100</w:t>
            </w:r>
          </w:p>
        </w:tc>
        <w:tc>
          <w:tcPr>
            <w:tcW w:w="424" w:type="pct"/>
            <w:shd w:val="clear" w:color="auto" w:fill="auto"/>
          </w:tcPr>
          <w:p w14:paraId="68942245"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15F39BFE"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0.3</w:t>
            </w:r>
          </w:p>
        </w:tc>
        <w:tc>
          <w:tcPr>
            <w:tcW w:w="427" w:type="pct"/>
            <w:shd w:val="clear" w:color="auto" w:fill="auto"/>
          </w:tcPr>
          <w:p w14:paraId="3DB41A78"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4168341A"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55A3A05C"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0.3</w:t>
            </w:r>
          </w:p>
        </w:tc>
        <w:tc>
          <w:tcPr>
            <w:tcW w:w="427" w:type="pct"/>
            <w:shd w:val="clear" w:color="auto" w:fill="auto"/>
          </w:tcPr>
          <w:p w14:paraId="014BDE3D"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56998474"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5A7B3C1E"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2.2</w:t>
            </w:r>
          </w:p>
        </w:tc>
      </w:tr>
      <w:tr w:rsidR="00501606" w:rsidRPr="00FD783B" w14:paraId="26524DA0" w14:textId="77777777" w:rsidTr="007544F7">
        <w:trPr>
          <w:gridAfter w:val="1"/>
          <w:wAfter w:w="100" w:type="pct"/>
        </w:trPr>
        <w:tc>
          <w:tcPr>
            <w:tcW w:w="4900" w:type="pct"/>
            <w:gridSpan w:val="9"/>
            <w:shd w:val="clear" w:color="auto" w:fill="auto"/>
          </w:tcPr>
          <w:p w14:paraId="50855673" w14:textId="77777777" w:rsidR="00501606" w:rsidRPr="00FD783B" w:rsidRDefault="00501606" w:rsidP="007544F7">
            <w:pPr>
              <w:adjustRightInd w:val="0"/>
              <w:snapToGrid w:val="0"/>
              <w:spacing w:line="360" w:lineRule="auto"/>
              <w:rPr>
                <w:rFonts w:ascii="Times New Roman" w:eastAsia="等线" w:hAnsi="Times New Roman"/>
                <w:sz w:val="20"/>
                <w:szCs w:val="20"/>
              </w:rPr>
            </w:pPr>
            <w:r w:rsidRPr="00FD783B">
              <w:rPr>
                <w:rFonts w:ascii="Times New Roman" w:eastAsia="等线" w:hAnsi="Times New Roman"/>
                <w:sz w:val="20"/>
                <w:szCs w:val="20"/>
              </w:rPr>
              <w:t xml:space="preserve">Tiles with different sintering temperature (TCLP 1311 method) </w:t>
            </w:r>
            <w:r w:rsidRPr="00FD783B">
              <w:rPr>
                <w:rFonts w:ascii="Times New Roman" w:eastAsia="等线" w:hAnsi="Times New Roman"/>
                <w:sz w:val="20"/>
                <w:szCs w:val="20"/>
                <w:vertAlign w:val="superscript"/>
              </w:rPr>
              <w:t>1</w:t>
            </w:r>
          </w:p>
        </w:tc>
      </w:tr>
      <w:tr w:rsidR="00501606" w:rsidRPr="00FD783B" w14:paraId="118AC027" w14:textId="77777777" w:rsidTr="007544F7">
        <w:tc>
          <w:tcPr>
            <w:tcW w:w="1033" w:type="pct"/>
            <w:shd w:val="clear" w:color="auto" w:fill="auto"/>
            <w:vAlign w:val="bottom"/>
          </w:tcPr>
          <w:p w14:paraId="3E78B06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T‒550</w:t>
            </w:r>
          </w:p>
        </w:tc>
        <w:tc>
          <w:tcPr>
            <w:tcW w:w="424" w:type="pct"/>
            <w:shd w:val="clear" w:color="auto" w:fill="auto"/>
          </w:tcPr>
          <w:p w14:paraId="3714C2AD"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327D3D77"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0.2</w:t>
            </w:r>
          </w:p>
        </w:tc>
        <w:tc>
          <w:tcPr>
            <w:tcW w:w="427" w:type="pct"/>
            <w:shd w:val="clear" w:color="auto" w:fill="auto"/>
          </w:tcPr>
          <w:p w14:paraId="09ABD72D"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206A7DC4"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c>
          <w:tcPr>
            <w:tcW w:w="614" w:type="pct"/>
            <w:shd w:val="clear" w:color="auto" w:fill="auto"/>
          </w:tcPr>
          <w:p w14:paraId="30678652"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1.7</w:t>
            </w:r>
          </w:p>
        </w:tc>
        <w:tc>
          <w:tcPr>
            <w:tcW w:w="427" w:type="pct"/>
            <w:shd w:val="clear" w:color="auto" w:fill="auto"/>
          </w:tcPr>
          <w:p w14:paraId="0E98C186"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1544DAF8"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0D9112C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1.5</w:t>
            </w:r>
          </w:p>
        </w:tc>
      </w:tr>
      <w:tr w:rsidR="00501606" w:rsidRPr="00FD783B" w14:paraId="4661BE7C" w14:textId="77777777" w:rsidTr="007544F7">
        <w:tc>
          <w:tcPr>
            <w:tcW w:w="1033" w:type="pct"/>
            <w:shd w:val="clear" w:color="auto" w:fill="auto"/>
            <w:vAlign w:val="bottom"/>
          </w:tcPr>
          <w:p w14:paraId="12FA59CF"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T‒800</w:t>
            </w:r>
          </w:p>
        </w:tc>
        <w:tc>
          <w:tcPr>
            <w:tcW w:w="424" w:type="pct"/>
            <w:shd w:val="clear" w:color="auto" w:fill="auto"/>
          </w:tcPr>
          <w:p w14:paraId="2954122C"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1949EFC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0.2</w:t>
            </w:r>
          </w:p>
        </w:tc>
        <w:tc>
          <w:tcPr>
            <w:tcW w:w="427" w:type="pct"/>
            <w:shd w:val="clear" w:color="auto" w:fill="auto"/>
          </w:tcPr>
          <w:p w14:paraId="447FD425"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76FA7424"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01468E14"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0.4</w:t>
            </w:r>
          </w:p>
        </w:tc>
        <w:tc>
          <w:tcPr>
            <w:tcW w:w="427" w:type="pct"/>
            <w:shd w:val="clear" w:color="auto" w:fill="auto"/>
          </w:tcPr>
          <w:p w14:paraId="0AC558A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4FE5D747"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3F80AC60"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2.0</w:t>
            </w:r>
          </w:p>
        </w:tc>
      </w:tr>
      <w:tr w:rsidR="00501606" w:rsidRPr="00FD783B" w14:paraId="392235B9" w14:textId="77777777" w:rsidTr="007544F7">
        <w:tc>
          <w:tcPr>
            <w:tcW w:w="1033" w:type="pct"/>
            <w:shd w:val="clear" w:color="auto" w:fill="auto"/>
            <w:vAlign w:val="bottom"/>
          </w:tcPr>
          <w:p w14:paraId="2ED56C32"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T‒900</w:t>
            </w:r>
          </w:p>
        </w:tc>
        <w:tc>
          <w:tcPr>
            <w:tcW w:w="424" w:type="pct"/>
            <w:shd w:val="clear" w:color="auto" w:fill="auto"/>
          </w:tcPr>
          <w:p w14:paraId="4CA4892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c>
          <w:tcPr>
            <w:tcW w:w="613" w:type="pct"/>
            <w:shd w:val="clear" w:color="auto" w:fill="auto"/>
          </w:tcPr>
          <w:p w14:paraId="5F2DEEC9"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0.2</w:t>
            </w:r>
          </w:p>
        </w:tc>
        <w:tc>
          <w:tcPr>
            <w:tcW w:w="427" w:type="pct"/>
            <w:shd w:val="clear" w:color="auto" w:fill="auto"/>
          </w:tcPr>
          <w:p w14:paraId="002E8484"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139E7A39"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41C38E0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0.2</w:t>
            </w:r>
          </w:p>
        </w:tc>
        <w:tc>
          <w:tcPr>
            <w:tcW w:w="427" w:type="pct"/>
            <w:shd w:val="clear" w:color="auto" w:fill="auto"/>
          </w:tcPr>
          <w:p w14:paraId="062BDEDE"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5C11A52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2BFA3724"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r>
      <w:tr w:rsidR="00501606" w:rsidRPr="00FD783B" w14:paraId="62BB1E04" w14:textId="77777777" w:rsidTr="007544F7">
        <w:tc>
          <w:tcPr>
            <w:tcW w:w="1033" w:type="pct"/>
            <w:shd w:val="clear" w:color="auto" w:fill="auto"/>
            <w:vAlign w:val="bottom"/>
          </w:tcPr>
          <w:p w14:paraId="7073C548"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T‒1000</w:t>
            </w:r>
          </w:p>
        </w:tc>
        <w:tc>
          <w:tcPr>
            <w:tcW w:w="424" w:type="pct"/>
            <w:shd w:val="clear" w:color="auto" w:fill="auto"/>
          </w:tcPr>
          <w:p w14:paraId="24645B8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c>
          <w:tcPr>
            <w:tcW w:w="613" w:type="pct"/>
            <w:shd w:val="clear" w:color="auto" w:fill="auto"/>
          </w:tcPr>
          <w:p w14:paraId="391769E9"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0.2</w:t>
            </w:r>
          </w:p>
        </w:tc>
        <w:tc>
          <w:tcPr>
            <w:tcW w:w="427" w:type="pct"/>
            <w:shd w:val="clear" w:color="auto" w:fill="auto"/>
          </w:tcPr>
          <w:p w14:paraId="5246E7C2"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0535EEB2"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0112E7C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c>
          <w:tcPr>
            <w:tcW w:w="427" w:type="pct"/>
            <w:shd w:val="clear" w:color="auto" w:fill="auto"/>
          </w:tcPr>
          <w:p w14:paraId="4D51765C"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49367772"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4991356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r>
      <w:tr w:rsidR="00501606" w:rsidRPr="00FD783B" w14:paraId="7823604A" w14:textId="77777777" w:rsidTr="007544F7">
        <w:tc>
          <w:tcPr>
            <w:tcW w:w="1033" w:type="pct"/>
            <w:shd w:val="clear" w:color="auto" w:fill="auto"/>
            <w:vAlign w:val="bottom"/>
          </w:tcPr>
          <w:p w14:paraId="3F7B589E"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T‒1100</w:t>
            </w:r>
          </w:p>
        </w:tc>
        <w:tc>
          <w:tcPr>
            <w:tcW w:w="424" w:type="pct"/>
            <w:shd w:val="clear" w:color="auto" w:fill="auto"/>
          </w:tcPr>
          <w:p w14:paraId="7A038514"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74154EBE"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c>
          <w:tcPr>
            <w:tcW w:w="427" w:type="pct"/>
            <w:shd w:val="clear" w:color="auto" w:fill="auto"/>
          </w:tcPr>
          <w:p w14:paraId="707AC03D"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302DCFAF"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68853939"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0.1</w:t>
            </w:r>
          </w:p>
        </w:tc>
        <w:tc>
          <w:tcPr>
            <w:tcW w:w="427" w:type="pct"/>
            <w:shd w:val="clear" w:color="auto" w:fill="auto"/>
          </w:tcPr>
          <w:p w14:paraId="59F138F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16224B59"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3CB147FC"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0.2</w:t>
            </w:r>
          </w:p>
        </w:tc>
      </w:tr>
      <w:tr w:rsidR="00501606" w:rsidRPr="00FD783B" w14:paraId="28FBD1B8" w14:textId="77777777" w:rsidTr="007544F7">
        <w:tc>
          <w:tcPr>
            <w:tcW w:w="1033" w:type="pct"/>
            <w:shd w:val="clear" w:color="auto" w:fill="auto"/>
          </w:tcPr>
          <w:p w14:paraId="0031FD9C"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color w:val="000000"/>
                <w:sz w:val="20"/>
                <w:szCs w:val="20"/>
              </w:rPr>
              <w:t>T‒1200</w:t>
            </w:r>
          </w:p>
        </w:tc>
        <w:tc>
          <w:tcPr>
            <w:tcW w:w="424" w:type="pct"/>
            <w:shd w:val="clear" w:color="auto" w:fill="auto"/>
          </w:tcPr>
          <w:p w14:paraId="18DAED91"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21D88761"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0ACE62D3"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2AB1E264"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0546D07A"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08B88A00"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2A92E5E3"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6089FEAB" w14:textId="77777777" w:rsidR="00501606" w:rsidRPr="00FD783B" w:rsidRDefault="00501606" w:rsidP="007544F7">
            <w:pPr>
              <w:adjustRightInd w:val="0"/>
              <w:snapToGrid w:val="0"/>
              <w:spacing w:line="480" w:lineRule="auto"/>
              <w:rPr>
                <w:rFonts w:ascii="Times New Roman" w:eastAsia="等线" w:hAnsi="Times New Roman"/>
                <w:sz w:val="20"/>
                <w:szCs w:val="20"/>
              </w:rPr>
            </w:pPr>
            <w:r w:rsidRPr="00FD783B">
              <w:rPr>
                <w:rFonts w:ascii="Times New Roman" w:hAnsi="Times New Roman"/>
                <w:sz w:val="20"/>
                <w:szCs w:val="20"/>
              </w:rPr>
              <w:t>n.d.</w:t>
            </w:r>
          </w:p>
        </w:tc>
      </w:tr>
      <w:tr w:rsidR="00501606" w:rsidRPr="00FD783B" w14:paraId="7DF0EB1B" w14:textId="77777777" w:rsidTr="007544F7">
        <w:trPr>
          <w:gridAfter w:val="1"/>
          <w:wAfter w:w="100" w:type="pct"/>
        </w:trPr>
        <w:tc>
          <w:tcPr>
            <w:tcW w:w="4900" w:type="pct"/>
            <w:gridSpan w:val="9"/>
            <w:shd w:val="clear" w:color="auto" w:fill="auto"/>
          </w:tcPr>
          <w:p w14:paraId="5FA95363" w14:textId="77777777" w:rsidR="00501606" w:rsidRPr="00FD783B" w:rsidRDefault="00501606" w:rsidP="007544F7">
            <w:pPr>
              <w:adjustRightInd w:val="0"/>
              <w:snapToGrid w:val="0"/>
              <w:spacing w:line="360" w:lineRule="auto"/>
              <w:rPr>
                <w:rFonts w:ascii="Times New Roman" w:hAnsi="Times New Roman"/>
                <w:sz w:val="20"/>
                <w:szCs w:val="20"/>
              </w:rPr>
            </w:pPr>
            <w:r w:rsidRPr="00FD783B">
              <w:rPr>
                <w:rFonts w:ascii="Times New Roman" w:hAnsi="Times New Roman"/>
                <w:color w:val="000000"/>
                <w:sz w:val="20"/>
                <w:szCs w:val="20"/>
              </w:rPr>
              <w:t xml:space="preserve">Limits set by the Chinese and American TCLP </w:t>
            </w:r>
            <w:r w:rsidRPr="00FD783B">
              <w:rPr>
                <w:rFonts w:ascii="Times New Roman" w:hAnsi="Times New Roman"/>
                <w:sz w:val="20"/>
                <w:szCs w:val="20"/>
              </w:rPr>
              <w:t xml:space="preserve">standard </w:t>
            </w:r>
            <w:r w:rsidRPr="00FD783B">
              <w:rPr>
                <w:rFonts w:ascii="Times New Roman" w:eastAsia="等线" w:hAnsi="Times New Roman"/>
                <w:sz w:val="20"/>
                <w:szCs w:val="20"/>
                <w:vertAlign w:val="superscript"/>
              </w:rPr>
              <w:t>1</w:t>
            </w:r>
          </w:p>
        </w:tc>
      </w:tr>
      <w:tr w:rsidR="00501606" w:rsidRPr="00FD783B" w14:paraId="04590DCB" w14:textId="77777777" w:rsidTr="007544F7">
        <w:tc>
          <w:tcPr>
            <w:tcW w:w="1033" w:type="pct"/>
            <w:shd w:val="clear" w:color="auto" w:fill="auto"/>
          </w:tcPr>
          <w:p w14:paraId="1E786B76" w14:textId="77777777" w:rsidR="00501606" w:rsidRPr="00FD783B" w:rsidRDefault="00501606" w:rsidP="007544F7">
            <w:pPr>
              <w:adjustRightInd w:val="0"/>
              <w:snapToGrid w:val="0"/>
              <w:spacing w:line="312" w:lineRule="auto"/>
              <w:rPr>
                <w:rFonts w:ascii="Times New Roman" w:hAnsi="Times New Roman"/>
                <w:color w:val="000000"/>
                <w:sz w:val="20"/>
                <w:szCs w:val="20"/>
              </w:rPr>
            </w:pPr>
            <w:bookmarkStart w:id="102" w:name="OLE_LINK51"/>
            <w:r w:rsidRPr="00FD783B">
              <w:rPr>
                <w:rFonts w:ascii="Times New Roman" w:hAnsi="Times New Roman"/>
                <w:color w:val="000000"/>
                <w:sz w:val="20"/>
                <w:szCs w:val="20"/>
              </w:rPr>
              <w:t>GB 16889</w:t>
            </w:r>
            <w:bookmarkEnd w:id="102"/>
          </w:p>
        </w:tc>
        <w:tc>
          <w:tcPr>
            <w:tcW w:w="424" w:type="pct"/>
            <w:shd w:val="clear" w:color="auto" w:fill="auto"/>
            <w:vAlign w:val="bottom"/>
          </w:tcPr>
          <w:p w14:paraId="0CBF631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0.3</w:t>
            </w:r>
          </w:p>
        </w:tc>
        <w:tc>
          <w:tcPr>
            <w:tcW w:w="613" w:type="pct"/>
            <w:shd w:val="clear" w:color="auto" w:fill="auto"/>
            <w:vAlign w:val="bottom"/>
          </w:tcPr>
          <w:p w14:paraId="25482472"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25.0</w:t>
            </w:r>
          </w:p>
        </w:tc>
        <w:tc>
          <w:tcPr>
            <w:tcW w:w="427" w:type="pct"/>
            <w:shd w:val="clear" w:color="auto" w:fill="auto"/>
            <w:vAlign w:val="bottom"/>
          </w:tcPr>
          <w:p w14:paraId="5BAAF5C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0.6</w:t>
            </w:r>
          </w:p>
        </w:tc>
        <w:tc>
          <w:tcPr>
            <w:tcW w:w="427" w:type="pct"/>
            <w:shd w:val="clear" w:color="auto" w:fill="auto"/>
            <w:vAlign w:val="bottom"/>
          </w:tcPr>
          <w:p w14:paraId="48A33D9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15.0</w:t>
            </w:r>
          </w:p>
        </w:tc>
        <w:tc>
          <w:tcPr>
            <w:tcW w:w="614" w:type="pct"/>
            <w:shd w:val="clear" w:color="auto" w:fill="auto"/>
            <w:vAlign w:val="bottom"/>
          </w:tcPr>
          <w:p w14:paraId="397DA397"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40.0</w:t>
            </w:r>
          </w:p>
        </w:tc>
        <w:tc>
          <w:tcPr>
            <w:tcW w:w="427" w:type="pct"/>
            <w:shd w:val="clear" w:color="auto" w:fill="auto"/>
            <w:vAlign w:val="bottom"/>
          </w:tcPr>
          <w:p w14:paraId="23F9AF6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1.5</w:t>
            </w:r>
          </w:p>
        </w:tc>
        <w:tc>
          <w:tcPr>
            <w:tcW w:w="427" w:type="pct"/>
            <w:shd w:val="clear" w:color="auto" w:fill="auto"/>
            <w:vAlign w:val="bottom"/>
          </w:tcPr>
          <w:p w14:paraId="3CC9AF58"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0.25</w:t>
            </w:r>
          </w:p>
        </w:tc>
        <w:tc>
          <w:tcPr>
            <w:tcW w:w="608" w:type="pct"/>
            <w:gridSpan w:val="2"/>
            <w:shd w:val="clear" w:color="auto" w:fill="auto"/>
            <w:vAlign w:val="bottom"/>
          </w:tcPr>
          <w:p w14:paraId="2058A906"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100.0</w:t>
            </w:r>
          </w:p>
        </w:tc>
      </w:tr>
      <w:tr w:rsidR="00501606" w:rsidRPr="00FD783B" w14:paraId="592170FB" w14:textId="77777777" w:rsidTr="007544F7">
        <w:tc>
          <w:tcPr>
            <w:tcW w:w="1033" w:type="pct"/>
            <w:shd w:val="clear" w:color="auto" w:fill="auto"/>
          </w:tcPr>
          <w:p w14:paraId="6772EA94" w14:textId="77777777" w:rsidR="00501606" w:rsidRPr="00FD783B" w:rsidRDefault="00501606" w:rsidP="007544F7">
            <w:pPr>
              <w:adjustRightInd w:val="0"/>
              <w:snapToGrid w:val="0"/>
              <w:spacing w:line="480" w:lineRule="auto"/>
              <w:rPr>
                <w:rFonts w:ascii="Times New Roman" w:hAnsi="Times New Roman"/>
                <w:color w:val="000000"/>
                <w:sz w:val="20"/>
                <w:szCs w:val="20"/>
              </w:rPr>
            </w:pPr>
            <w:bookmarkStart w:id="103" w:name="OLE_LINK49"/>
            <w:r w:rsidRPr="00FD783B">
              <w:rPr>
                <w:rFonts w:ascii="Times New Roman" w:hAnsi="Times New Roman"/>
                <w:color w:val="000000"/>
                <w:sz w:val="20"/>
                <w:szCs w:val="20"/>
              </w:rPr>
              <w:t>EPA 261</w:t>
            </w:r>
            <w:bookmarkEnd w:id="103"/>
          </w:p>
        </w:tc>
        <w:tc>
          <w:tcPr>
            <w:tcW w:w="424" w:type="pct"/>
            <w:shd w:val="clear" w:color="auto" w:fill="auto"/>
            <w:vAlign w:val="bottom"/>
          </w:tcPr>
          <w:p w14:paraId="3E9E14B2"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5.0</w:t>
            </w:r>
          </w:p>
        </w:tc>
        <w:tc>
          <w:tcPr>
            <w:tcW w:w="613" w:type="pct"/>
            <w:shd w:val="clear" w:color="auto" w:fill="auto"/>
            <w:vAlign w:val="bottom"/>
          </w:tcPr>
          <w:p w14:paraId="518CBDD7"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100.0</w:t>
            </w:r>
          </w:p>
        </w:tc>
        <w:tc>
          <w:tcPr>
            <w:tcW w:w="427" w:type="pct"/>
            <w:shd w:val="clear" w:color="auto" w:fill="auto"/>
            <w:vAlign w:val="bottom"/>
          </w:tcPr>
          <w:p w14:paraId="1F5BBE65"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1.0</w:t>
            </w:r>
          </w:p>
        </w:tc>
        <w:tc>
          <w:tcPr>
            <w:tcW w:w="427" w:type="pct"/>
            <w:shd w:val="clear" w:color="auto" w:fill="auto"/>
            <w:vAlign w:val="bottom"/>
          </w:tcPr>
          <w:p w14:paraId="1DA3E1A4"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5.0</w:t>
            </w:r>
          </w:p>
        </w:tc>
        <w:tc>
          <w:tcPr>
            <w:tcW w:w="614" w:type="pct"/>
            <w:shd w:val="clear" w:color="auto" w:fill="auto"/>
            <w:vAlign w:val="bottom"/>
          </w:tcPr>
          <w:p w14:paraId="331405DA"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w:t>
            </w:r>
          </w:p>
        </w:tc>
        <w:tc>
          <w:tcPr>
            <w:tcW w:w="427" w:type="pct"/>
            <w:shd w:val="clear" w:color="auto" w:fill="auto"/>
            <w:vAlign w:val="bottom"/>
          </w:tcPr>
          <w:p w14:paraId="22315BA8"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w:t>
            </w:r>
          </w:p>
        </w:tc>
        <w:tc>
          <w:tcPr>
            <w:tcW w:w="427" w:type="pct"/>
            <w:shd w:val="clear" w:color="auto" w:fill="auto"/>
            <w:vAlign w:val="bottom"/>
          </w:tcPr>
          <w:p w14:paraId="5A95FF3E"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5.0</w:t>
            </w:r>
          </w:p>
        </w:tc>
        <w:tc>
          <w:tcPr>
            <w:tcW w:w="608" w:type="pct"/>
            <w:gridSpan w:val="2"/>
            <w:shd w:val="clear" w:color="auto" w:fill="auto"/>
            <w:vAlign w:val="bottom"/>
          </w:tcPr>
          <w:p w14:paraId="476DC4BD"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w:t>
            </w:r>
          </w:p>
        </w:tc>
      </w:tr>
      <w:tr w:rsidR="00501606" w:rsidRPr="00FD783B" w14:paraId="394AD152" w14:textId="77777777" w:rsidTr="007544F7">
        <w:trPr>
          <w:gridAfter w:val="1"/>
          <w:wAfter w:w="100" w:type="pct"/>
        </w:trPr>
        <w:tc>
          <w:tcPr>
            <w:tcW w:w="4900" w:type="pct"/>
            <w:gridSpan w:val="9"/>
            <w:shd w:val="clear" w:color="auto" w:fill="auto"/>
          </w:tcPr>
          <w:p w14:paraId="72F843B8" w14:textId="77777777" w:rsidR="00501606" w:rsidRPr="00FD783B" w:rsidRDefault="00501606" w:rsidP="007544F7">
            <w:pPr>
              <w:adjustRightInd w:val="0"/>
              <w:snapToGrid w:val="0"/>
              <w:spacing w:line="360" w:lineRule="auto"/>
              <w:rPr>
                <w:rFonts w:ascii="Times New Roman" w:eastAsia="等线" w:hAnsi="Times New Roman"/>
                <w:sz w:val="20"/>
                <w:szCs w:val="20"/>
              </w:rPr>
            </w:pPr>
            <w:bookmarkStart w:id="104" w:name="_Hlk120200921"/>
            <w:r w:rsidRPr="00FD783B">
              <w:rPr>
                <w:rFonts w:ascii="Times New Roman" w:eastAsia="等线" w:hAnsi="Times New Roman"/>
                <w:sz w:val="20"/>
                <w:szCs w:val="20"/>
              </w:rPr>
              <w:t>Tiles with different THS addition (</w:t>
            </w:r>
            <w:r w:rsidRPr="00FD783B">
              <w:rPr>
                <w:rFonts w:ascii="Times New Roman" w:hAnsi="Times New Roman"/>
                <w:sz w:val="20"/>
                <w:szCs w:val="20"/>
              </w:rPr>
              <w:t>NEN 7345 standard</w:t>
            </w:r>
            <w:r w:rsidRPr="00FD783B">
              <w:rPr>
                <w:rFonts w:ascii="Times New Roman" w:eastAsia="等线" w:hAnsi="Times New Roman"/>
                <w:sz w:val="20"/>
                <w:szCs w:val="20"/>
              </w:rPr>
              <w:t xml:space="preserve">) </w:t>
            </w:r>
            <w:r w:rsidRPr="00FD783B">
              <w:rPr>
                <w:rFonts w:ascii="Times New Roman" w:eastAsia="等线" w:hAnsi="Times New Roman"/>
                <w:sz w:val="20"/>
                <w:szCs w:val="20"/>
                <w:vertAlign w:val="superscript"/>
              </w:rPr>
              <w:t>2</w:t>
            </w:r>
          </w:p>
        </w:tc>
      </w:tr>
      <w:tr w:rsidR="00501606" w:rsidRPr="00FD783B" w14:paraId="1F51BE36" w14:textId="77777777" w:rsidTr="007544F7">
        <w:tc>
          <w:tcPr>
            <w:tcW w:w="1033" w:type="pct"/>
            <w:shd w:val="clear" w:color="auto" w:fill="auto"/>
            <w:vAlign w:val="bottom"/>
          </w:tcPr>
          <w:p w14:paraId="064D0ACA"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THS‒0</w:t>
            </w:r>
          </w:p>
        </w:tc>
        <w:tc>
          <w:tcPr>
            <w:tcW w:w="424" w:type="pct"/>
            <w:shd w:val="clear" w:color="auto" w:fill="auto"/>
          </w:tcPr>
          <w:p w14:paraId="54A38C3F"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214834D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6A1EE6ED"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3E8E0A5C"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6A30335A"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562EEBEB"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611D899C"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45350D73"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r>
      <w:tr w:rsidR="00501606" w:rsidRPr="00FD783B" w14:paraId="7333DF4B" w14:textId="77777777" w:rsidTr="007544F7">
        <w:tc>
          <w:tcPr>
            <w:tcW w:w="1033" w:type="pct"/>
            <w:shd w:val="clear" w:color="auto" w:fill="auto"/>
            <w:vAlign w:val="bottom"/>
          </w:tcPr>
          <w:p w14:paraId="1DFAD165"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color w:val="000000"/>
                <w:sz w:val="20"/>
                <w:szCs w:val="20"/>
              </w:rPr>
              <w:t>THS‒20</w:t>
            </w:r>
          </w:p>
        </w:tc>
        <w:tc>
          <w:tcPr>
            <w:tcW w:w="424" w:type="pct"/>
            <w:shd w:val="clear" w:color="auto" w:fill="auto"/>
          </w:tcPr>
          <w:p w14:paraId="3A3FD6E0"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3" w:type="pct"/>
            <w:shd w:val="clear" w:color="auto" w:fill="auto"/>
          </w:tcPr>
          <w:p w14:paraId="3E231848"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636751E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0DBD08C5"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14" w:type="pct"/>
            <w:shd w:val="clear" w:color="auto" w:fill="auto"/>
          </w:tcPr>
          <w:p w14:paraId="280633DA"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0.4</w:t>
            </w:r>
          </w:p>
        </w:tc>
        <w:tc>
          <w:tcPr>
            <w:tcW w:w="427" w:type="pct"/>
            <w:shd w:val="clear" w:color="auto" w:fill="auto"/>
          </w:tcPr>
          <w:p w14:paraId="10FFF436"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427" w:type="pct"/>
            <w:shd w:val="clear" w:color="auto" w:fill="auto"/>
          </w:tcPr>
          <w:p w14:paraId="46487011"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c>
          <w:tcPr>
            <w:tcW w:w="608" w:type="pct"/>
            <w:gridSpan w:val="2"/>
            <w:shd w:val="clear" w:color="auto" w:fill="auto"/>
          </w:tcPr>
          <w:p w14:paraId="64001BB5" w14:textId="77777777" w:rsidR="00501606" w:rsidRPr="00FD783B" w:rsidRDefault="00501606" w:rsidP="007544F7">
            <w:pPr>
              <w:adjustRightInd w:val="0"/>
              <w:snapToGrid w:val="0"/>
              <w:spacing w:line="312" w:lineRule="auto"/>
              <w:rPr>
                <w:rFonts w:ascii="Times New Roman" w:eastAsia="等线" w:hAnsi="Times New Roman"/>
                <w:sz w:val="20"/>
                <w:szCs w:val="20"/>
              </w:rPr>
            </w:pPr>
            <w:r w:rsidRPr="00FD783B">
              <w:rPr>
                <w:rFonts w:ascii="Times New Roman" w:hAnsi="Times New Roman"/>
                <w:sz w:val="20"/>
                <w:szCs w:val="20"/>
              </w:rPr>
              <w:t>n.d.</w:t>
            </w:r>
          </w:p>
        </w:tc>
      </w:tr>
      <w:tr w:rsidR="00501606" w:rsidRPr="00FD783B" w14:paraId="04AC17D8" w14:textId="77777777" w:rsidTr="007544F7">
        <w:tc>
          <w:tcPr>
            <w:tcW w:w="1033" w:type="pct"/>
            <w:shd w:val="clear" w:color="auto" w:fill="auto"/>
            <w:vAlign w:val="bottom"/>
          </w:tcPr>
          <w:p w14:paraId="280A39B5"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THS‒40</w:t>
            </w:r>
          </w:p>
        </w:tc>
        <w:tc>
          <w:tcPr>
            <w:tcW w:w="424" w:type="pct"/>
            <w:shd w:val="clear" w:color="auto" w:fill="auto"/>
          </w:tcPr>
          <w:p w14:paraId="2B54992A"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3" w:type="pct"/>
            <w:shd w:val="clear" w:color="auto" w:fill="auto"/>
          </w:tcPr>
          <w:p w14:paraId="6784B3E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8F58D7C"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2F41CA9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0A056543"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0.4</w:t>
            </w:r>
          </w:p>
        </w:tc>
        <w:tc>
          <w:tcPr>
            <w:tcW w:w="427" w:type="pct"/>
            <w:shd w:val="clear" w:color="auto" w:fill="auto"/>
          </w:tcPr>
          <w:p w14:paraId="0C0A787C"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08BCE8EB"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524037DE"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0AA002F5" w14:textId="77777777" w:rsidTr="007544F7">
        <w:tc>
          <w:tcPr>
            <w:tcW w:w="1033" w:type="pct"/>
            <w:shd w:val="clear" w:color="auto" w:fill="auto"/>
            <w:vAlign w:val="bottom"/>
          </w:tcPr>
          <w:p w14:paraId="591B64ED"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THS‒60</w:t>
            </w:r>
          </w:p>
        </w:tc>
        <w:tc>
          <w:tcPr>
            <w:tcW w:w="424" w:type="pct"/>
            <w:shd w:val="clear" w:color="auto" w:fill="auto"/>
          </w:tcPr>
          <w:p w14:paraId="0AFBBF6D"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3" w:type="pct"/>
            <w:shd w:val="clear" w:color="auto" w:fill="auto"/>
          </w:tcPr>
          <w:p w14:paraId="76EB7E9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4363E6A1"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A9399DC"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3B8271ED"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0.5</w:t>
            </w:r>
          </w:p>
        </w:tc>
        <w:tc>
          <w:tcPr>
            <w:tcW w:w="427" w:type="pct"/>
            <w:shd w:val="clear" w:color="auto" w:fill="auto"/>
          </w:tcPr>
          <w:p w14:paraId="1659653F"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7E8DD4AF"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222543A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0FA9B5DE" w14:textId="77777777" w:rsidTr="007544F7">
        <w:tc>
          <w:tcPr>
            <w:tcW w:w="1033" w:type="pct"/>
            <w:shd w:val="clear" w:color="auto" w:fill="auto"/>
            <w:vAlign w:val="bottom"/>
          </w:tcPr>
          <w:p w14:paraId="379E1C77"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THS‒80</w:t>
            </w:r>
          </w:p>
        </w:tc>
        <w:tc>
          <w:tcPr>
            <w:tcW w:w="424" w:type="pct"/>
            <w:shd w:val="clear" w:color="auto" w:fill="auto"/>
          </w:tcPr>
          <w:p w14:paraId="47B6C231"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3" w:type="pct"/>
            <w:shd w:val="clear" w:color="auto" w:fill="auto"/>
          </w:tcPr>
          <w:p w14:paraId="4944BE26"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D3F844E"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38C38FA2"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416A17E3"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0.6</w:t>
            </w:r>
          </w:p>
        </w:tc>
        <w:tc>
          <w:tcPr>
            <w:tcW w:w="427" w:type="pct"/>
            <w:shd w:val="clear" w:color="auto" w:fill="auto"/>
          </w:tcPr>
          <w:p w14:paraId="1E2337BC"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481DD9B9"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3C36716A"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153C62D3" w14:textId="77777777" w:rsidTr="007544F7">
        <w:tc>
          <w:tcPr>
            <w:tcW w:w="1033" w:type="pct"/>
            <w:shd w:val="clear" w:color="auto" w:fill="auto"/>
            <w:vAlign w:val="bottom"/>
          </w:tcPr>
          <w:p w14:paraId="7CB2CEA0"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THS‒100</w:t>
            </w:r>
          </w:p>
        </w:tc>
        <w:tc>
          <w:tcPr>
            <w:tcW w:w="424" w:type="pct"/>
            <w:shd w:val="clear" w:color="auto" w:fill="auto"/>
          </w:tcPr>
          <w:p w14:paraId="72ADCD2D"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613" w:type="pct"/>
            <w:shd w:val="clear" w:color="auto" w:fill="auto"/>
          </w:tcPr>
          <w:p w14:paraId="10A53DB3"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1.5</w:t>
            </w:r>
          </w:p>
        </w:tc>
        <w:tc>
          <w:tcPr>
            <w:tcW w:w="427" w:type="pct"/>
            <w:shd w:val="clear" w:color="auto" w:fill="auto"/>
          </w:tcPr>
          <w:p w14:paraId="2E3CA35E"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7540E7C"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1EBC93E0"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3.1</w:t>
            </w:r>
          </w:p>
        </w:tc>
        <w:tc>
          <w:tcPr>
            <w:tcW w:w="427" w:type="pct"/>
            <w:shd w:val="clear" w:color="auto" w:fill="auto"/>
          </w:tcPr>
          <w:p w14:paraId="4381B046"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154343C"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7664D496"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6.1</w:t>
            </w:r>
          </w:p>
        </w:tc>
      </w:tr>
      <w:tr w:rsidR="00501606" w:rsidRPr="00FD783B" w14:paraId="6E5C712C" w14:textId="77777777" w:rsidTr="007544F7">
        <w:trPr>
          <w:gridAfter w:val="1"/>
          <w:wAfter w:w="100" w:type="pct"/>
        </w:trPr>
        <w:tc>
          <w:tcPr>
            <w:tcW w:w="4900" w:type="pct"/>
            <w:gridSpan w:val="9"/>
            <w:shd w:val="clear" w:color="auto" w:fill="auto"/>
            <w:vAlign w:val="bottom"/>
          </w:tcPr>
          <w:p w14:paraId="48A7F485"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eastAsia="等线" w:hAnsi="Times New Roman"/>
                <w:sz w:val="20"/>
                <w:szCs w:val="20"/>
              </w:rPr>
              <w:t>Tiles with different sintering temperature (</w:t>
            </w:r>
            <w:r w:rsidRPr="00FD783B">
              <w:rPr>
                <w:rFonts w:ascii="Times New Roman" w:hAnsi="Times New Roman"/>
                <w:sz w:val="20"/>
                <w:szCs w:val="20"/>
              </w:rPr>
              <w:t xml:space="preserve">NEN 7345 </w:t>
            </w:r>
            <w:bookmarkStart w:id="105" w:name="OLE_LINK47"/>
            <w:r w:rsidRPr="00FD783B">
              <w:rPr>
                <w:rFonts w:ascii="Times New Roman" w:hAnsi="Times New Roman"/>
                <w:sz w:val="20"/>
                <w:szCs w:val="20"/>
              </w:rPr>
              <w:t>standard</w:t>
            </w:r>
            <w:bookmarkEnd w:id="105"/>
            <w:r w:rsidRPr="00FD783B">
              <w:rPr>
                <w:rFonts w:ascii="Times New Roman" w:eastAsia="等线" w:hAnsi="Times New Roman"/>
                <w:sz w:val="20"/>
                <w:szCs w:val="20"/>
              </w:rPr>
              <w:t xml:space="preserve">) </w:t>
            </w:r>
            <w:r w:rsidRPr="00FD783B">
              <w:rPr>
                <w:rFonts w:ascii="Times New Roman" w:eastAsia="等线" w:hAnsi="Times New Roman"/>
                <w:sz w:val="20"/>
                <w:szCs w:val="20"/>
                <w:vertAlign w:val="superscript"/>
              </w:rPr>
              <w:t>2</w:t>
            </w:r>
          </w:p>
        </w:tc>
      </w:tr>
      <w:tr w:rsidR="00501606" w:rsidRPr="00FD783B" w14:paraId="5ABFA4F2" w14:textId="77777777" w:rsidTr="007544F7">
        <w:tc>
          <w:tcPr>
            <w:tcW w:w="1033" w:type="pct"/>
            <w:shd w:val="clear" w:color="auto" w:fill="auto"/>
            <w:vAlign w:val="bottom"/>
          </w:tcPr>
          <w:p w14:paraId="6B6EA389"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T‒550</w:t>
            </w:r>
          </w:p>
        </w:tc>
        <w:tc>
          <w:tcPr>
            <w:tcW w:w="424" w:type="pct"/>
            <w:shd w:val="clear" w:color="auto" w:fill="auto"/>
          </w:tcPr>
          <w:p w14:paraId="0E84B708"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0.7</w:t>
            </w:r>
          </w:p>
        </w:tc>
        <w:tc>
          <w:tcPr>
            <w:tcW w:w="613" w:type="pct"/>
            <w:shd w:val="clear" w:color="auto" w:fill="auto"/>
          </w:tcPr>
          <w:p w14:paraId="146E75EA"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CAE5AD6"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77DFB2DC"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5BDD8A25"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427" w:type="pct"/>
            <w:shd w:val="clear" w:color="auto" w:fill="auto"/>
          </w:tcPr>
          <w:p w14:paraId="5D09A0C1"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5568FADB"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376C8F3B"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728A3E9A" w14:textId="77777777" w:rsidTr="007544F7">
        <w:tc>
          <w:tcPr>
            <w:tcW w:w="1033" w:type="pct"/>
            <w:shd w:val="clear" w:color="auto" w:fill="auto"/>
            <w:vAlign w:val="bottom"/>
          </w:tcPr>
          <w:p w14:paraId="0527C1F1"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T‒800</w:t>
            </w:r>
          </w:p>
        </w:tc>
        <w:tc>
          <w:tcPr>
            <w:tcW w:w="424" w:type="pct"/>
            <w:shd w:val="clear" w:color="auto" w:fill="auto"/>
          </w:tcPr>
          <w:p w14:paraId="6147EED9"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1.3</w:t>
            </w:r>
          </w:p>
        </w:tc>
        <w:tc>
          <w:tcPr>
            <w:tcW w:w="613" w:type="pct"/>
            <w:shd w:val="clear" w:color="auto" w:fill="auto"/>
          </w:tcPr>
          <w:p w14:paraId="1FA2F2CB"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4949282B"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1696CBF8"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0.3</w:t>
            </w:r>
          </w:p>
        </w:tc>
        <w:tc>
          <w:tcPr>
            <w:tcW w:w="614" w:type="pct"/>
            <w:shd w:val="clear" w:color="auto" w:fill="auto"/>
          </w:tcPr>
          <w:p w14:paraId="321BB479"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427" w:type="pct"/>
            <w:shd w:val="clear" w:color="auto" w:fill="auto"/>
          </w:tcPr>
          <w:p w14:paraId="6BE7557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24C638A1"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63774B22"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415F1CD5" w14:textId="77777777" w:rsidTr="007544F7">
        <w:tc>
          <w:tcPr>
            <w:tcW w:w="1033" w:type="pct"/>
            <w:shd w:val="clear" w:color="auto" w:fill="auto"/>
            <w:vAlign w:val="bottom"/>
          </w:tcPr>
          <w:p w14:paraId="3C907F53"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T‒900</w:t>
            </w:r>
          </w:p>
        </w:tc>
        <w:tc>
          <w:tcPr>
            <w:tcW w:w="424" w:type="pct"/>
            <w:shd w:val="clear" w:color="auto" w:fill="auto"/>
          </w:tcPr>
          <w:p w14:paraId="0E7163DA"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0.3</w:t>
            </w:r>
          </w:p>
        </w:tc>
        <w:tc>
          <w:tcPr>
            <w:tcW w:w="613" w:type="pct"/>
            <w:shd w:val="clear" w:color="auto" w:fill="auto"/>
          </w:tcPr>
          <w:p w14:paraId="2F106DB9"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244E2FA5"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68693D2"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53E1D90C"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427" w:type="pct"/>
            <w:shd w:val="clear" w:color="auto" w:fill="auto"/>
          </w:tcPr>
          <w:p w14:paraId="1A508192"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1D877A35"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7168179F"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4DACA891" w14:textId="77777777" w:rsidTr="007544F7">
        <w:tc>
          <w:tcPr>
            <w:tcW w:w="1033" w:type="pct"/>
            <w:shd w:val="clear" w:color="auto" w:fill="auto"/>
            <w:vAlign w:val="bottom"/>
          </w:tcPr>
          <w:p w14:paraId="78E1EAC5"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T‒1000</w:t>
            </w:r>
          </w:p>
        </w:tc>
        <w:tc>
          <w:tcPr>
            <w:tcW w:w="424" w:type="pct"/>
            <w:shd w:val="clear" w:color="auto" w:fill="auto"/>
          </w:tcPr>
          <w:p w14:paraId="0DF88E2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2.3</w:t>
            </w:r>
          </w:p>
        </w:tc>
        <w:tc>
          <w:tcPr>
            <w:tcW w:w="613" w:type="pct"/>
            <w:shd w:val="clear" w:color="auto" w:fill="auto"/>
          </w:tcPr>
          <w:p w14:paraId="1371B74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0C8FC042"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01CF6BB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0D62EBE6"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427" w:type="pct"/>
            <w:shd w:val="clear" w:color="auto" w:fill="auto"/>
          </w:tcPr>
          <w:p w14:paraId="2700896F"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5AA53E9D"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105FFE5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1AC22AF5" w14:textId="77777777" w:rsidTr="007544F7">
        <w:tc>
          <w:tcPr>
            <w:tcW w:w="1033" w:type="pct"/>
            <w:shd w:val="clear" w:color="auto" w:fill="auto"/>
            <w:vAlign w:val="bottom"/>
          </w:tcPr>
          <w:p w14:paraId="73CBAA86"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T‒1100</w:t>
            </w:r>
          </w:p>
        </w:tc>
        <w:tc>
          <w:tcPr>
            <w:tcW w:w="424" w:type="pct"/>
            <w:shd w:val="clear" w:color="auto" w:fill="auto"/>
          </w:tcPr>
          <w:p w14:paraId="6759CD70"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0.3</w:t>
            </w:r>
          </w:p>
        </w:tc>
        <w:tc>
          <w:tcPr>
            <w:tcW w:w="613" w:type="pct"/>
            <w:shd w:val="clear" w:color="auto" w:fill="auto"/>
          </w:tcPr>
          <w:p w14:paraId="7B2B3E2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44FBDFF7"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0DCBEE5C"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6383FAEA" w14:textId="77777777" w:rsidR="00501606" w:rsidRPr="00FD783B" w:rsidRDefault="00501606" w:rsidP="007544F7">
            <w:pPr>
              <w:adjustRightInd w:val="0"/>
              <w:snapToGrid w:val="0"/>
              <w:spacing w:line="312" w:lineRule="auto"/>
              <w:rPr>
                <w:rFonts w:ascii="Times New Roman" w:hAnsi="Times New Roman"/>
                <w:sz w:val="20"/>
                <w:szCs w:val="20"/>
              </w:rPr>
            </w:pPr>
            <w:r w:rsidRPr="00FD783B">
              <w:rPr>
                <w:rFonts w:ascii="Times New Roman" w:hAnsi="Times New Roman"/>
                <w:sz w:val="20"/>
                <w:szCs w:val="20"/>
              </w:rPr>
              <w:t>n.d.</w:t>
            </w:r>
          </w:p>
        </w:tc>
        <w:tc>
          <w:tcPr>
            <w:tcW w:w="427" w:type="pct"/>
            <w:shd w:val="clear" w:color="auto" w:fill="auto"/>
          </w:tcPr>
          <w:p w14:paraId="593DC563"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31CA53C3"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39FC2FCA"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509FAF82" w14:textId="77777777" w:rsidTr="007544F7">
        <w:tc>
          <w:tcPr>
            <w:tcW w:w="1033" w:type="pct"/>
            <w:shd w:val="clear" w:color="auto" w:fill="auto"/>
          </w:tcPr>
          <w:p w14:paraId="25F6B2ED"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color w:val="000000"/>
                <w:sz w:val="20"/>
                <w:szCs w:val="20"/>
              </w:rPr>
              <w:t>T‒1200</w:t>
            </w:r>
          </w:p>
        </w:tc>
        <w:tc>
          <w:tcPr>
            <w:tcW w:w="424" w:type="pct"/>
            <w:shd w:val="clear" w:color="auto" w:fill="auto"/>
          </w:tcPr>
          <w:p w14:paraId="043AF13D"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613" w:type="pct"/>
            <w:shd w:val="clear" w:color="auto" w:fill="auto"/>
          </w:tcPr>
          <w:p w14:paraId="64455B0B"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53C2A371"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6D04F5D9"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614" w:type="pct"/>
            <w:shd w:val="clear" w:color="auto" w:fill="auto"/>
          </w:tcPr>
          <w:p w14:paraId="725870D4"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0.4</w:t>
            </w:r>
          </w:p>
        </w:tc>
        <w:tc>
          <w:tcPr>
            <w:tcW w:w="427" w:type="pct"/>
            <w:shd w:val="clear" w:color="auto" w:fill="auto"/>
          </w:tcPr>
          <w:p w14:paraId="45ED5D8A"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427" w:type="pct"/>
            <w:shd w:val="clear" w:color="auto" w:fill="auto"/>
          </w:tcPr>
          <w:p w14:paraId="3E2A5FF5"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c>
          <w:tcPr>
            <w:tcW w:w="608" w:type="pct"/>
            <w:gridSpan w:val="2"/>
            <w:shd w:val="clear" w:color="auto" w:fill="auto"/>
          </w:tcPr>
          <w:p w14:paraId="7AB01843" w14:textId="77777777" w:rsidR="00501606" w:rsidRPr="00FD783B" w:rsidRDefault="00501606" w:rsidP="007544F7">
            <w:pPr>
              <w:adjustRightInd w:val="0"/>
              <w:snapToGrid w:val="0"/>
              <w:spacing w:line="480" w:lineRule="auto"/>
              <w:rPr>
                <w:rFonts w:ascii="Times New Roman" w:hAnsi="Times New Roman"/>
                <w:color w:val="000000"/>
                <w:sz w:val="20"/>
                <w:szCs w:val="20"/>
              </w:rPr>
            </w:pPr>
            <w:r w:rsidRPr="00FD783B">
              <w:rPr>
                <w:rFonts w:ascii="Times New Roman" w:hAnsi="Times New Roman"/>
                <w:sz w:val="20"/>
                <w:szCs w:val="20"/>
              </w:rPr>
              <w:t>n.d.</w:t>
            </w:r>
          </w:p>
        </w:tc>
      </w:tr>
      <w:tr w:rsidR="00501606" w:rsidRPr="00FD783B" w14:paraId="08BFBAA8" w14:textId="77777777" w:rsidTr="007544F7">
        <w:trPr>
          <w:gridAfter w:val="1"/>
          <w:wAfter w:w="100" w:type="pct"/>
        </w:trPr>
        <w:tc>
          <w:tcPr>
            <w:tcW w:w="4900" w:type="pct"/>
            <w:gridSpan w:val="9"/>
            <w:tcBorders>
              <w:top w:val="nil"/>
              <w:bottom w:val="nil"/>
            </w:tcBorders>
            <w:shd w:val="clear" w:color="auto" w:fill="auto"/>
          </w:tcPr>
          <w:p w14:paraId="191D0118" w14:textId="77777777" w:rsidR="00501606" w:rsidRPr="00FD783B" w:rsidRDefault="00501606" w:rsidP="007544F7">
            <w:pPr>
              <w:adjustRightInd w:val="0"/>
              <w:snapToGrid w:val="0"/>
              <w:spacing w:line="360" w:lineRule="auto"/>
              <w:rPr>
                <w:rFonts w:ascii="Times New Roman" w:hAnsi="Times New Roman"/>
                <w:color w:val="000000"/>
                <w:sz w:val="20"/>
                <w:szCs w:val="20"/>
              </w:rPr>
            </w:pPr>
            <w:bookmarkStart w:id="106" w:name="OLE_LINK48"/>
            <w:r w:rsidRPr="00FD783B">
              <w:rPr>
                <w:rFonts w:ascii="Times New Roman" w:hAnsi="Times New Roman"/>
                <w:color w:val="000000"/>
                <w:sz w:val="20"/>
                <w:szCs w:val="20"/>
              </w:rPr>
              <w:t xml:space="preserve">Limits set by the European Leaching Test (NEN 7345 </w:t>
            </w:r>
            <w:r w:rsidRPr="00FD783B">
              <w:rPr>
                <w:rFonts w:ascii="Times New Roman" w:hAnsi="Times New Roman"/>
                <w:sz w:val="20"/>
                <w:szCs w:val="20"/>
              </w:rPr>
              <w:t>standard</w:t>
            </w:r>
            <w:r w:rsidRPr="00FD783B">
              <w:rPr>
                <w:rFonts w:ascii="Times New Roman" w:hAnsi="Times New Roman"/>
                <w:color w:val="000000"/>
                <w:sz w:val="20"/>
                <w:szCs w:val="20"/>
              </w:rPr>
              <w:t>)</w:t>
            </w:r>
            <w:bookmarkEnd w:id="106"/>
            <w:r w:rsidRPr="00FD783B">
              <w:rPr>
                <w:rFonts w:ascii="Times New Roman" w:hAnsi="Times New Roman"/>
                <w:color w:val="000000"/>
                <w:sz w:val="20"/>
                <w:szCs w:val="20"/>
              </w:rPr>
              <w:t xml:space="preserve"> </w:t>
            </w:r>
            <w:r w:rsidRPr="00FD783B">
              <w:rPr>
                <w:rFonts w:ascii="Times New Roman" w:hAnsi="Times New Roman"/>
                <w:color w:val="000000"/>
                <w:sz w:val="20"/>
                <w:szCs w:val="20"/>
                <w:vertAlign w:val="superscript"/>
              </w:rPr>
              <w:t>2</w:t>
            </w:r>
          </w:p>
        </w:tc>
      </w:tr>
      <w:tr w:rsidR="00501606" w:rsidRPr="00FD783B" w14:paraId="424628C7" w14:textId="77777777" w:rsidTr="007544F7">
        <w:tc>
          <w:tcPr>
            <w:tcW w:w="1033" w:type="pct"/>
            <w:tcBorders>
              <w:top w:val="nil"/>
              <w:left w:val="nil"/>
              <w:bottom w:val="nil"/>
              <w:right w:val="nil"/>
            </w:tcBorders>
            <w:shd w:val="clear" w:color="auto" w:fill="auto"/>
          </w:tcPr>
          <w:p w14:paraId="3E6876B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U1</w:t>
            </w:r>
          </w:p>
        </w:tc>
        <w:tc>
          <w:tcPr>
            <w:tcW w:w="424" w:type="pct"/>
            <w:tcBorders>
              <w:top w:val="nil"/>
              <w:left w:val="nil"/>
              <w:bottom w:val="nil"/>
              <w:right w:val="nil"/>
            </w:tcBorders>
            <w:shd w:val="clear" w:color="auto" w:fill="auto"/>
            <w:vAlign w:val="bottom"/>
          </w:tcPr>
          <w:p w14:paraId="489EAFA8"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40</w:t>
            </w:r>
          </w:p>
        </w:tc>
        <w:tc>
          <w:tcPr>
            <w:tcW w:w="613" w:type="pct"/>
            <w:tcBorders>
              <w:top w:val="nil"/>
              <w:left w:val="nil"/>
              <w:bottom w:val="nil"/>
              <w:right w:val="nil"/>
            </w:tcBorders>
            <w:shd w:val="clear" w:color="auto" w:fill="auto"/>
            <w:vAlign w:val="bottom"/>
          </w:tcPr>
          <w:p w14:paraId="0AC598D3"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600</w:t>
            </w:r>
          </w:p>
        </w:tc>
        <w:tc>
          <w:tcPr>
            <w:tcW w:w="427" w:type="pct"/>
            <w:tcBorders>
              <w:top w:val="nil"/>
              <w:left w:val="nil"/>
              <w:bottom w:val="nil"/>
              <w:right w:val="nil"/>
            </w:tcBorders>
            <w:shd w:val="clear" w:color="auto" w:fill="auto"/>
            <w:vAlign w:val="bottom"/>
          </w:tcPr>
          <w:p w14:paraId="5984937E"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1</w:t>
            </w:r>
          </w:p>
        </w:tc>
        <w:tc>
          <w:tcPr>
            <w:tcW w:w="427" w:type="pct"/>
            <w:tcBorders>
              <w:top w:val="nil"/>
              <w:left w:val="nil"/>
              <w:bottom w:val="nil"/>
              <w:right w:val="nil"/>
            </w:tcBorders>
            <w:shd w:val="clear" w:color="auto" w:fill="auto"/>
            <w:vAlign w:val="bottom"/>
          </w:tcPr>
          <w:p w14:paraId="4E1B357E"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150</w:t>
            </w:r>
          </w:p>
        </w:tc>
        <w:tc>
          <w:tcPr>
            <w:tcW w:w="614" w:type="pct"/>
            <w:tcBorders>
              <w:top w:val="nil"/>
              <w:left w:val="nil"/>
              <w:bottom w:val="nil"/>
              <w:right w:val="nil"/>
            </w:tcBorders>
            <w:shd w:val="clear" w:color="auto" w:fill="auto"/>
            <w:vAlign w:val="bottom"/>
          </w:tcPr>
          <w:p w14:paraId="04E0121F"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50</w:t>
            </w:r>
          </w:p>
        </w:tc>
        <w:tc>
          <w:tcPr>
            <w:tcW w:w="427" w:type="pct"/>
            <w:tcBorders>
              <w:top w:val="nil"/>
              <w:left w:val="nil"/>
              <w:bottom w:val="nil"/>
              <w:right w:val="nil"/>
            </w:tcBorders>
            <w:shd w:val="clear" w:color="auto" w:fill="auto"/>
            <w:vAlign w:val="bottom"/>
          </w:tcPr>
          <w:p w14:paraId="2323DF98"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50</w:t>
            </w:r>
          </w:p>
        </w:tc>
        <w:tc>
          <w:tcPr>
            <w:tcW w:w="427" w:type="pct"/>
            <w:tcBorders>
              <w:top w:val="nil"/>
              <w:left w:val="nil"/>
              <w:bottom w:val="nil"/>
              <w:right w:val="nil"/>
            </w:tcBorders>
            <w:shd w:val="clear" w:color="auto" w:fill="auto"/>
            <w:vAlign w:val="bottom"/>
          </w:tcPr>
          <w:p w14:paraId="324583C4"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100</w:t>
            </w:r>
          </w:p>
        </w:tc>
        <w:tc>
          <w:tcPr>
            <w:tcW w:w="608" w:type="pct"/>
            <w:gridSpan w:val="2"/>
            <w:tcBorders>
              <w:top w:val="nil"/>
              <w:left w:val="nil"/>
              <w:bottom w:val="nil"/>
              <w:right w:val="nil"/>
            </w:tcBorders>
            <w:shd w:val="clear" w:color="auto" w:fill="auto"/>
            <w:vAlign w:val="bottom"/>
          </w:tcPr>
          <w:p w14:paraId="2FDCBCDD" w14:textId="77777777" w:rsidR="00501606" w:rsidRPr="00FD783B" w:rsidRDefault="00501606" w:rsidP="007544F7">
            <w:pPr>
              <w:adjustRightInd w:val="0"/>
              <w:snapToGrid w:val="0"/>
              <w:spacing w:line="312" w:lineRule="auto"/>
              <w:rPr>
                <w:rFonts w:ascii="Times New Roman" w:hAnsi="Times New Roman"/>
                <w:color w:val="000000"/>
                <w:sz w:val="20"/>
                <w:szCs w:val="20"/>
              </w:rPr>
            </w:pPr>
            <w:r w:rsidRPr="00FD783B">
              <w:rPr>
                <w:rFonts w:ascii="Times New Roman" w:hAnsi="Times New Roman"/>
                <w:color w:val="000000"/>
                <w:sz w:val="20"/>
                <w:szCs w:val="20"/>
              </w:rPr>
              <w:t>200</w:t>
            </w:r>
          </w:p>
        </w:tc>
      </w:tr>
      <w:tr w:rsidR="00501606" w:rsidRPr="00FD783B" w14:paraId="7064B7C7" w14:textId="77777777" w:rsidTr="007544F7">
        <w:trPr>
          <w:trHeight w:val="60"/>
        </w:trPr>
        <w:tc>
          <w:tcPr>
            <w:tcW w:w="1033" w:type="pct"/>
            <w:tcBorders>
              <w:top w:val="nil"/>
              <w:left w:val="nil"/>
              <w:bottom w:val="single" w:sz="12" w:space="0" w:color="auto"/>
              <w:right w:val="nil"/>
            </w:tcBorders>
            <w:shd w:val="clear" w:color="auto" w:fill="auto"/>
          </w:tcPr>
          <w:p w14:paraId="18972081"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U2</w:t>
            </w:r>
          </w:p>
        </w:tc>
        <w:tc>
          <w:tcPr>
            <w:tcW w:w="424" w:type="pct"/>
            <w:tcBorders>
              <w:top w:val="nil"/>
              <w:left w:val="nil"/>
              <w:bottom w:val="single" w:sz="12" w:space="0" w:color="auto"/>
              <w:right w:val="nil"/>
            </w:tcBorders>
            <w:shd w:val="clear" w:color="auto" w:fill="auto"/>
            <w:vAlign w:val="bottom"/>
          </w:tcPr>
          <w:p w14:paraId="78C6AFE7"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300</w:t>
            </w:r>
          </w:p>
        </w:tc>
        <w:tc>
          <w:tcPr>
            <w:tcW w:w="613" w:type="pct"/>
            <w:tcBorders>
              <w:top w:val="nil"/>
              <w:left w:val="nil"/>
              <w:bottom w:val="single" w:sz="12" w:space="0" w:color="auto"/>
              <w:right w:val="nil"/>
            </w:tcBorders>
            <w:shd w:val="clear" w:color="auto" w:fill="auto"/>
            <w:vAlign w:val="bottom"/>
          </w:tcPr>
          <w:p w14:paraId="79573636"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4500</w:t>
            </w:r>
          </w:p>
        </w:tc>
        <w:tc>
          <w:tcPr>
            <w:tcW w:w="427" w:type="pct"/>
            <w:tcBorders>
              <w:top w:val="nil"/>
              <w:left w:val="nil"/>
              <w:bottom w:val="single" w:sz="12" w:space="0" w:color="auto"/>
              <w:right w:val="nil"/>
            </w:tcBorders>
            <w:shd w:val="clear" w:color="auto" w:fill="auto"/>
            <w:vAlign w:val="bottom"/>
          </w:tcPr>
          <w:p w14:paraId="21C7BB37"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7</w:t>
            </w:r>
          </w:p>
        </w:tc>
        <w:tc>
          <w:tcPr>
            <w:tcW w:w="427" w:type="pct"/>
            <w:tcBorders>
              <w:top w:val="nil"/>
              <w:left w:val="nil"/>
              <w:bottom w:val="single" w:sz="12" w:space="0" w:color="auto"/>
              <w:right w:val="nil"/>
            </w:tcBorders>
            <w:shd w:val="clear" w:color="auto" w:fill="auto"/>
            <w:vAlign w:val="bottom"/>
          </w:tcPr>
          <w:p w14:paraId="066601BA"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950</w:t>
            </w:r>
          </w:p>
        </w:tc>
        <w:tc>
          <w:tcPr>
            <w:tcW w:w="614" w:type="pct"/>
            <w:tcBorders>
              <w:top w:val="nil"/>
              <w:left w:val="nil"/>
              <w:bottom w:val="single" w:sz="12" w:space="0" w:color="auto"/>
              <w:right w:val="nil"/>
            </w:tcBorders>
            <w:shd w:val="clear" w:color="auto" w:fill="auto"/>
            <w:vAlign w:val="bottom"/>
          </w:tcPr>
          <w:p w14:paraId="125D00C2"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350</w:t>
            </w:r>
          </w:p>
        </w:tc>
        <w:tc>
          <w:tcPr>
            <w:tcW w:w="427" w:type="pct"/>
            <w:tcBorders>
              <w:top w:val="nil"/>
              <w:left w:val="nil"/>
              <w:bottom w:val="single" w:sz="12" w:space="0" w:color="auto"/>
              <w:right w:val="nil"/>
            </w:tcBorders>
            <w:shd w:val="clear" w:color="auto" w:fill="auto"/>
            <w:vAlign w:val="bottom"/>
          </w:tcPr>
          <w:p w14:paraId="14F2D132"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350</w:t>
            </w:r>
          </w:p>
        </w:tc>
        <w:tc>
          <w:tcPr>
            <w:tcW w:w="427" w:type="pct"/>
            <w:tcBorders>
              <w:top w:val="nil"/>
              <w:left w:val="nil"/>
              <w:bottom w:val="single" w:sz="12" w:space="0" w:color="auto"/>
              <w:right w:val="nil"/>
            </w:tcBorders>
            <w:shd w:val="clear" w:color="auto" w:fill="auto"/>
            <w:vAlign w:val="bottom"/>
          </w:tcPr>
          <w:p w14:paraId="42501FEA"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800</w:t>
            </w:r>
          </w:p>
        </w:tc>
        <w:tc>
          <w:tcPr>
            <w:tcW w:w="608" w:type="pct"/>
            <w:gridSpan w:val="2"/>
            <w:tcBorders>
              <w:top w:val="nil"/>
              <w:left w:val="nil"/>
              <w:bottom w:val="single" w:sz="12" w:space="0" w:color="auto"/>
              <w:right w:val="nil"/>
            </w:tcBorders>
            <w:shd w:val="clear" w:color="auto" w:fill="auto"/>
            <w:vAlign w:val="bottom"/>
          </w:tcPr>
          <w:p w14:paraId="16E5290E" w14:textId="77777777" w:rsidR="00501606" w:rsidRPr="00FD783B" w:rsidRDefault="00501606" w:rsidP="007544F7">
            <w:pPr>
              <w:adjustRightInd w:val="0"/>
              <w:snapToGrid w:val="0"/>
              <w:spacing w:line="360" w:lineRule="auto"/>
              <w:rPr>
                <w:rFonts w:ascii="Times New Roman" w:hAnsi="Times New Roman"/>
                <w:color w:val="000000"/>
                <w:sz w:val="20"/>
                <w:szCs w:val="20"/>
              </w:rPr>
            </w:pPr>
            <w:r w:rsidRPr="00FD783B">
              <w:rPr>
                <w:rFonts w:ascii="Times New Roman" w:hAnsi="Times New Roman"/>
                <w:color w:val="000000"/>
                <w:sz w:val="20"/>
                <w:szCs w:val="20"/>
              </w:rPr>
              <w:t>1500</w:t>
            </w:r>
          </w:p>
        </w:tc>
      </w:tr>
    </w:tbl>
    <w:p w14:paraId="2A42556A" w14:textId="77777777" w:rsidR="000D7881" w:rsidRPr="00FD783B" w:rsidRDefault="000D7881" w:rsidP="00623B10">
      <w:pPr>
        <w:snapToGrid w:val="0"/>
        <w:spacing w:before="240" w:line="480" w:lineRule="auto"/>
      </w:pPr>
      <w:bookmarkStart w:id="107" w:name="_Hlk117010960"/>
      <w:bookmarkStart w:id="108" w:name="_Hlk117503121"/>
      <w:bookmarkEnd w:id="104"/>
      <w:r w:rsidRPr="00FD783B">
        <w:t>Notes: 1‒ Unit is mg/L; 2‒ Unit is mg/m</w:t>
      </w:r>
      <w:r w:rsidRPr="00FD783B">
        <w:rPr>
          <w:vertAlign w:val="superscript"/>
        </w:rPr>
        <w:t>2</w:t>
      </w:r>
      <w:r w:rsidRPr="00FD783B">
        <w:t>; n.d.‒ not detected.</w:t>
      </w:r>
    </w:p>
    <w:bookmarkEnd w:id="99"/>
    <w:bookmarkEnd w:id="107"/>
    <w:bookmarkEnd w:id="108"/>
    <w:p w14:paraId="4DD39D6C" w14:textId="77777777" w:rsidR="000D7881" w:rsidRPr="00FD783B" w:rsidRDefault="000D7881" w:rsidP="00623B10">
      <w:pPr>
        <w:snapToGrid w:val="0"/>
        <w:spacing w:line="480" w:lineRule="auto"/>
        <w:rPr>
          <w:rFonts w:eastAsia="等线"/>
          <w:b/>
          <w:bCs/>
        </w:rPr>
      </w:pPr>
    </w:p>
    <w:p w14:paraId="4A4B10E0" w14:textId="77777777" w:rsidR="000D7881" w:rsidRPr="00FD783B" w:rsidRDefault="000D7881" w:rsidP="00623B10">
      <w:pPr>
        <w:pStyle w:val="2"/>
        <w:snapToGrid w:val="0"/>
      </w:pPr>
      <w:bookmarkStart w:id="109" w:name="OLE_LINK3"/>
      <w:r w:rsidRPr="00FD783B">
        <w:t>3.3 Phase transformation and microstructure of the sintered tiles</w:t>
      </w:r>
    </w:p>
    <w:bookmarkEnd w:id="109"/>
    <w:p w14:paraId="3CD336A5" w14:textId="183765A2" w:rsidR="000D7881" w:rsidRPr="00FD783B" w:rsidRDefault="000D7881" w:rsidP="00623B10">
      <w:pPr>
        <w:adjustRightInd w:val="0"/>
        <w:snapToGrid w:val="0"/>
        <w:spacing w:line="480" w:lineRule="auto"/>
        <w:ind w:firstLine="480"/>
      </w:pPr>
      <w:r w:rsidRPr="00FD783B">
        <w:t xml:space="preserve">To comprehend the impact of THS incorporation on the mineral phase and crystalline state of the sintered tiles, the XRD patterns of the ceramic products were detected (Fig. </w:t>
      </w:r>
      <w:r w:rsidR="00E4452C">
        <w:t>5</w:t>
      </w:r>
      <w:r w:rsidRPr="00FD783B">
        <w:t xml:space="preserve">a). As the THS ratio increased from 0% to 40%, the dominant diffraction peak can be referred to cristobalite. Its intensity weakened slightly, followed by a sharp decrease, as the THS proportion increased to 60%, 80%, and 100%. Similar tendency also occurred to the XRD peaks of </w:t>
      </w:r>
      <w:bookmarkStart w:id="110" w:name="_Hlk118104922"/>
      <w:r w:rsidRPr="00FD783B">
        <w:t>aluminum phosphate</w:t>
      </w:r>
      <w:bookmarkEnd w:id="110"/>
      <w:r w:rsidRPr="00FD783B">
        <w:t>, mullite, and quartz. On the contrary, the portion of hematite increased progressively with the increasing THS ratio. With the r</w:t>
      </w:r>
      <w:r w:rsidR="009D64E8" w:rsidRPr="00FD783B">
        <w:t xml:space="preserve">atio </w:t>
      </w:r>
      <w:r w:rsidRPr="00FD783B">
        <w:t xml:space="preserve">of THS </w:t>
      </w:r>
      <w:r w:rsidR="009D64E8" w:rsidRPr="00FD783B">
        <w:t>addition increased</w:t>
      </w:r>
      <w:r w:rsidRPr="00FD783B">
        <w:t xml:space="preserve">, the relative content of Si decreased in the green compact, counter to that of Fe, P, and alkali and alkaline-earth metals, while Al had little changes (Table 1). </w:t>
      </w:r>
      <w:r w:rsidR="00A6244A" w:rsidRPr="00FD783B">
        <w:t>S</w:t>
      </w:r>
      <w:r w:rsidRPr="00FD783B">
        <w:t xml:space="preserve">intered quartz </w:t>
      </w:r>
      <w:r w:rsidR="00A6244A" w:rsidRPr="00FD783B">
        <w:t>a</w:t>
      </w:r>
      <w:r w:rsidR="004006FA" w:rsidRPr="00FD783B">
        <w:t xml:space="preserve">pparently </w:t>
      </w:r>
      <w:r w:rsidRPr="00FD783B">
        <w:t>turned to be of more cristobalite, another tetragonal and SiO</w:t>
      </w:r>
      <w:r w:rsidRPr="00FD783B">
        <w:rPr>
          <w:vertAlign w:val="subscript"/>
        </w:rPr>
        <w:t>2</w:t>
      </w:r>
      <w:r w:rsidRPr="00FD783B">
        <w:t xml:space="preserve"> based mineral, which has been reported to be synthesized at </w:t>
      </w:r>
      <w:r w:rsidR="009D64E8" w:rsidRPr="00FD783B">
        <w:t xml:space="preserve">a </w:t>
      </w:r>
      <w:r w:rsidRPr="00FD783B">
        <w:t>high temperature with softening and shrinkage of the core</w:t>
      </w:r>
      <w:r w:rsidR="003D174B" w:rsidRPr="00FD783B">
        <w:t>s</w:t>
      </w:r>
      <w:r w:rsidRPr="00FD783B">
        <w:t xml:space="preserve"> </w:t>
      </w:r>
      <w:r w:rsidRPr="00FD783B">
        <w:rPr>
          <w:noProof/>
        </w:rPr>
        <w:t>(Liang et al., 2017; Pagliari et al., 2013)</w:t>
      </w:r>
      <w:r w:rsidRPr="00FD783B">
        <w:t xml:space="preserve">. Aluminum phosphate, hematite, and mullite are key components in the ceramic tiles, which benefits the product toughness, compactness, and erosion resistance </w:t>
      </w:r>
      <w:r w:rsidRPr="00FD783B">
        <w:rPr>
          <w:noProof/>
        </w:rPr>
        <w:t>(Chen et al., 2013; Schneider et al., 2008; Wang et al., 2019)</w:t>
      </w:r>
      <w:r w:rsidRPr="00FD783B">
        <w:t xml:space="preserve">. Hematite and oxides of alkali and alkaline-earth metals help to lower the melting point of the glassy phase </w:t>
      </w:r>
      <w:r w:rsidRPr="00FD783B">
        <w:rPr>
          <w:noProof/>
        </w:rPr>
        <w:t>(Acchar et al., 2013; Tsai et al., 2006)</w:t>
      </w:r>
      <w:r w:rsidRPr="00FD783B">
        <w:t xml:space="preserve">. However, a too high THS ratio would promote the fluidity of the powder materials and hinder the inorganic crystallization after the organic release, even though some tenacious minerals were formed. Hence, the THS </w:t>
      </w:r>
      <w:r w:rsidR="00A6244A" w:rsidRPr="00FD783B">
        <w:t xml:space="preserve">addition </w:t>
      </w:r>
      <w:r w:rsidRPr="00FD783B">
        <w:t xml:space="preserve">should be controlled at an appropriate ratio, i.e., 40%, to maintain a sufficient mineral content for the intact structure and superior performance of the sintered tiles (Fig. </w:t>
      </w:r>
      <w:r w:rsidR="00E4452C">
        <w:t>3</w:t>
      </w:r>
      <w:r w:rsidRPr="00FD783B">
        <w:t>).</w:t>
      </w:r>
    </w:p>
    <w:p w14:paraId="0DE4268B" w14:textId="5E18A592" w:rsidR="000D7881" w:rsidRPr="00FD783B" w:rsidRDefault="000D7881" w:rsidP="00623B10">
      <w:pPr>
        <w:adjustRightInd w:val="0"/>
        <w:snapToGrid w:val="0"/>
        <w:spacing w:line="480" w:lineRule="auto"/>
        <w:ind w:firstLine="480"/>
      </w:pPr>
      <w:r w:rsidRPr="00FD783B">
        <w:t xml:space="preserve">The sintering process and related phase transformation </w:t>
      </w:r>
      <w:r w:rsidR="00A6244A" w:rsidRPr="00FD783B">
        <w:t xml:space="preserve">of THS‒40 tiles </w:t>
      </w:r>
      <w:r w:rsidRPr="00FD783B">
        <w:t xml:space="preserve">were also investigated (Fig. </w:t>
      </w:r>
      <w:r w:rsidR="00E4452C">
        <w:t>5</w:t>
      </w:r>
      <w:r w:rsidRPr="00FD783B">
        <w:t xml:space="preserve">b). At the lowest temperature (550 </w:t>
      </w:r>
      <w:proofErr w:type="spellStart"/>
      <w:r w:rsidR="00654BB4" w:rsidRPr="00654BB4">
        <w:rPr>
          <w:vertAlign w:val="superscript"/>
        </w:rPr>
        <w:t>o</w:t>
      </w:r>
      <w:r w:rsidR="00654BB4" w:rsidRPr="00654BB4">
        <w:t>C</w:t>
      </w:r>
      <w:proofErr w:type="spellEnd"/>
      <w:r w:rsidRPr="00FD783B">
        <w:t xml:space="preserve">), when majority of the organics in the </w:t>
      </w:r>
      <w:r w:rsidR="00A6244A" w:rsidRPr="00FD783B">
        <w:t xml:space="preserve">precursor </w:t>
      </w:r>
      <w:r w:rsidRPr="00FD783B">
        <w:t>powder</w:t>
      </w:r>
      <w:r w:rsidR="00A6244A" w:rsidRPr="00FD783B">
        <w:t>s</w:t>
      </w:r>
      <w:r w:rsidRPr="00FD783B">
        <w:t xml:space="preserve"> had been released as vaporized gas (Fig</w:t>
      </w:r>
      <w:r w:rsidR="00E4452C">
        <w:t>s</w:t>
      </w:r>
      <w:r w:rsidRPr="00FD783B">
        <w:t xml:space="preserve">. </w:t>
      </w:r>
      <w:r w:rsidR="00E4452C">
        <w:t>1b and c</w:t>
      </w:r>
      <w:r w:rsidRPr="00FD783B">
        <w:t xml:space="preserve">), quartz and muscovite </w:t>
      </w:r>
      <w:r w:rsidRPr="00FD783B">
        <w:lastRenderedPageBreak/>
        <w:t xml:space="preserve">were the only detected crystal components in the tiles. The overall XRD patterns barely changed in comparison with </w:t>
      </w:r>
      <w:r w:rsidR="00A6244A" w:rsidRPr="00FD783B">
        <w:t>t</w:t>
      </w:r>
      <w:r w:rsidRPr="00FD783B">
        <w:t xml:space="preserve">he green compact (T‒25). With the increase of the sintering temperature, quartz was gradually transformed into cristobalite, conforming to the results in Fig. </w:t>
      </w:r>
      <w:r w:rsidR="00E4452C">
        <w:t>5</w:t>
      </w:r>
      <w:r w:rsidRPr="00FD783B">
        <w:t xml:space="preserve">a. Also, the main aluminosilicate minerals changed from muscovite to mullite, improving the compactness and mechanical strength of the </w:t>
      </w:r>
      <w:r w:rsidR="00A6244A" w:rsidRPr="00FD783B">
        <w:t xml:space="preserve">ceramic </w:t>
      </w:r>
      <w:r w:rsidRPr="00FD783B">
        <w:t xml:space="preserve">products </w:t>
      </w:r>
      <w:r w:rsidRPr="00FD783B">
        <w:rPr>
          <w:noProof/>
        </w:rPr>
        <w:t>(Schneider et al., 2008)</w:t>
      </w:r>
      <w:r w:rsidRPr="00FD783B">
        <w:t xml:space="preserve">. Furthermore, from 550 to 1200 </w:t>
      </w:r>
      <w:proofErr w:type="spellStart"/>
      <w:r w:rsidR="00654BB4" w:rsidRPr="00654BB4">
        <w:rPr>
          <w:vertAlign w:val="superscript"/>
        </w:rPr>
        <w:t>o</w:t>
      </w:r>
      <w:r w:rsidR="00654BB4" w:rsidRPr="00654BB4">
        <w:t>C</w:t>
      </w:r>
      <w:proofErr w:type="spellEnd"/>
      <w:r w:rsidRPr="00FD783B">
        <w:t xml:space="preserve">, the elevated hematite intensity brought forth the color change of the tiles from grey to </w:t>
      </w:r>
      <w:r w:rsidRPr="00FD783B">
        <w:rPr>
          <w:rStyle w:val="hgkelc"/>
        </w:rPr>
        <w:t xml:space="preserve">reddish brown and even dark brown </w:t>
      </w:r>
      <w:r w:rsidRPr="00FD783B">
        <w:t xml:space="preserve">(Fig. </w:t>
      </w:r>
      <w:r w:rsidR="00E4452C">
        <w:t>2</w:t>
      </w:r>
      <w:r w:rsidRPr="00FD783B">
        <w:t xml:space="preserve">). A higher temperature guaranteed the mineral transformation, crystallization, and ceramic formation, beneficial to the tile structure and performance (Fig. </w:t>
      </w:r>
      <w:r w:rsidR="009D28C4">
        <w:t>3</w:t>
      </w:r>
      <w:r w:rsidRPr="00FD783B">
        <w:t xml:space="preserve">), and cristobalite, </w:t>
      </w:r>
      <w:bookmarkStart w:id="111" w:name="OLE_LINK60"/>
      <w:r w:rsidRPr="00FD783B">
        <w:t xml:space="preserve">aluminum phosphate, hematite, and mullite </w:t>
      </w:r>
      <w:bookmarkEnd w:id="111"/>
      <w:r w:rsidRPr="00FD783B">
        <w:t xml:space="preserve">all reached the highest level in the ceramic tiles sintered at 1200 </w:t>
      </w:r>
      <w:proofErr w:type="spellStart"/>
      <w:r w:rsidR="00654BB4" w:rsidRPr="00654BB4">
        <w:rPr>
          <w:vertAlign w:val="superscript"/>
        </w:rPr>
        <w:t>o</w:t>
      </w:r>
      <w:r w:rsidR="00654BB4" w:rsidRPr="00654BB4">
        <w:t>C</w:t>
      </w:r>
      <w:r w:rsidRPr="00FD783B">
        <w:t>.</w:t>
      </w:r>
      <w:proofErr w:type="spellEnd"/>
    </w:p>
    <w:p w14:paraId="04A76ABB" w14:textId="5CF7E813" w:rsidR="000D7881" w:rsidRPr="00FD783B" w:rsidRDefault="000D7881" w:rsidP="00623B10">
      <w:pPr>
        <w:adjustRightInd w:val="0"/>
        <w:snapToGrid w:val="0"/>
        <w:spacing w:line="480" w:lineRule="auto"/>
        <w:jc w:val="center"/>
      </w:pPr>
    </w:p>
    <w:p w14:paraId="19F724E4" w14:textId="1A946F30" w:rsidR="001F3287" w:rsidRPr="00FD783B" w:rsidRDefault="001F3287" w:rsidP="00623B10">
      <w:pPr>
        <w:adjustRightInd w:val="0"/>
        <w:snapToGrid w:val="0"/>
        <w:spacing w:line="480" w:lineRule="auto"/>
        <w:jc w:val="center"/>
      </w:pPr>
      <w:r>
        <w:rPr>
          <w:noProof/>
        </w:rPr>
        <w:lastRenderedPageBreak/>
        <w:drawing>
          <wp:inline distT="0" distB="0" distL="0" distR="0" wp14:anchorId="0D355227" wp14:editId="71CA901A">
            <wp:extent cx="4760806" cy="7855531"/>
            <wp:effectExtent l="0" t="0" r="1905" b="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88"/>
                    <a:stretch/>
                  </pic:blipFill>
                  <pic:spPr bwMode="auto">
                    <a:xfrm>
                      <a:off x="0" y="0"/>
                      <a:ext cx="4770548" cy="7871606"/>
                    </a:xfrm>
                    <a:prstGeom prst="rect">
                      <a:avLst/>
                    </a:prstGeom>
                    <a:noFill/>
                    <a:ln>
                      <a:noFill/>
                    </a:ln>
                    <a:extLst>
                      <a:ext uri="{53640926-AAD7-44D8-BBD7-CCE9431645EC}">
                        <a14:shadowObscured xmlns:a14="http://schemas.microsoft.com/office/drawing/2010/main"/>
                      </a:ext>
                    </a:extLst>
                  </pic:spPr>
                </pic:pic>
              </a:graphicData>
            </a:graphic>
          </wp:inline>
        </w:drawing>
      </w:r>
    </w:p>
    <w:p w14:paraId="5BA77617" w14:textId="6D0F6C8B" w:rsidR="000D7881" w:rsidRPr="00FD783B" w:rsidRDefault="000D7881" w:rsidP="00623B10">
      <w:pPr>
        <w:snapToGrid w:val="0"/>
        <w:spacing w:line="480" w:lineRule="auto"/>
        <w:jc w:val="center"/>
        <w:outlineLvl w:val="3"/>
      </w:pPr>
      <w:r w:rsidRPr="00FD783B">
        <w:rPr>
          <w:rFonts w:eastAsia="Calibri"/>
          <w:bCs/>
        </w:rPr>
        <w:t xml:space="preserve">Fig. </w:t>
      </w:r>
      <w:r w:rsidR="00E4452C">
        <w:rPr>
          <w:rFonts w:eastAsia="Calibri"/>
          <w:bCs/>
        </w:rPr>
        <w:t>5</w:t>
      </w:r>
      <w:r w:rsidRPr="00FD783B">
        <w:rPr>
          <w:rFonts w:eastAsia="Calibri"/>
          <w:bCs/>
        </w:rPr>
        <w:t xml:space="preserve">. </w:t>
      </w:r>
      <w:r w:rsidRPr="00FD783B">
        <w:t xml:space="preserve">XRD patterns of the sintered </w:t>
      </w:r>
      <w:r w:rsidR="008B3704" w:rsidRPr="00FD783B">
        <w:t xml:space="preserve">ceramic </w:t>
      </w:r>
      <w:r w:rsidRPr="00FD783B">
        <w:t>tiles</w:t>
      </w:r>
      <w:r w:rsidR="003619B9" w:rsidRPr="00FD783B">
        <w:t xml:space="preserve">: </w:t>
      </w:r>
      <w:r w:rsidRPr="00FD783B">
        <w:t xml:space="preserve">(a) different </w:t>
      </w:r>
      <w:r w:rsidRPr="00FD783B">
        <w:rPr>
          <w:rFonts w:eastAsia="等线"/>
        </w:rPr>
        <w:t>THS dosing ratios</w:t>
      </w:r>
      <w:r w:rsidRPr="00FD783B">
        <w:t xml:space="preserve"> (THS‒0 to THS‒100), and (b) different sintering temperatures (T‒550 to T‒1200).</w:t>
      </w:r>
    </w:p>
    <w:p w14:paraId="426A39A1" w14:textId="77777777" w:rsidR="000D7881" w:rsidRPr="00FD783B" w:rsidRDefault="000D7881" w:rsidP="00623B10">
      <w:pPr>
        <w:adjustRightInd w:val="0"/>
        <w:snapToGrid w:val="0"/>
        <w:spacing w:line="480" w:lineRule="auto"/>
        <w:ind w:firstLine="480"/>
      </w:pPr>
    </w:p>
    <w:p w14:paraId="06B4BF09" w14:textId="3BDCFAA2" w:rsidR="00331613" w:rsidRDefault="000D7881" w:rsidP="00331613">
      <w:pPr>
        <w:adjustRightInd w:val="0"/>
        <w:snapToGrid w:val="0"/>
        <w:spacing w:line="480" w:lineRule="auto"/>
        <w:ind w:firstLine="480"/>
      </w:pPr>
      <w:r w:rsidRPr="00FD783B">
        <w:t xml:space="preserve">From </w:t>
      </w:r>
      <w:bookmarkStart w:id="112" w:name="_Hlk120127344"/>
      <w:r w:rsidRPr="00FD783B">
        <w:t>the microstructure</w:t>
      </w:r>
      <w:bookmarkEnd w:id="112"/>
      <w:r w:rsidRPr="00FD783B">
        <w:t xml:space="preserve"> analysis, </w:t>
      </w:r>
      <w:r w:rsidRPr="00FD783B">
        <w:rPr>
          <w:rFonts w:eastAsia="等线"/>
        </w:rPr>
        <w:t xml:space="preserve">with more THS incorporated into </w:t>
      </w:r>
      <w:r w:rsidRPr="00FD783B">
        <w:t xml:space="preserve">montmorillonite, the sintered tiles had more and bigger pores than that </w:t>
      </w:r>
      <w:r w:rsidR="0015379F" w:rsidRPr="00FD783B">
        <w:t>of</w:t>
      </w:r>
      <w:r w:rsidRPr="00FD783B">
        <w:t xml:space="preserve"> single montmorillonite </w:t>
      </w:r>
      <w:bookmarkStart w:id="113" w:name="OLE_LINK17"/>
      <w:r w:rsidRPr="00FD783B">
        <w:t xml:space="preserve">(Fig. </w:t>
      </w:r>
      <w:r w:rsidR="00E4452C">
        <w:t>6</w:t>
      </w:r>
      <w:r w:rsidRPr="00FD783B">
        <w:t>a)</w:t>
      </w:r>
      <w:bookmarkEnd w:id="113"/>
      <w:r w:rsidRPr="00FD783B">
        <w:t xml:space="preserve">, which was resulted from the organic oxidation and vaporization (Fig. </w:t>
      </w:r>
      <w:r w:rsidR="00E4452C">
        <w:t>2</w:t>
      </w:r>
      <w:r w:rsidR="00DE5B3F" w:rsidRPr="00FD783B">
        <w:t>c</w:t>
      </w:r>
      <w:r w:rsidRPr="00FD783B">
        <w:t>). The matrix was dominated with SiO</w:t>
      </w:r>
      <w:r w:rsidRPr="00FD783B">
        <w:rPr>
          <w:vertAlign w:val="subscript"/>
        </w:rPr>
        <w:t>2</w:t>
      </w:r>
      <w:r w:rsidRPr="00FD783B">
        <w:t xml:space="preserve"> and silicates (zoom-in individual frames and points 1 </w:t>
      </w:r>
      <w:r w:rsidR="0015379F" w:rsidRPr="00FD783B">
        <w:t>in</w:t>
      </w:r>
      <w:r w:rsidRPr="00FD783B">
        <w:t xml:space="preserve"> Fig. </w:t>
      </w:r>
      <w:r w:rsidR="00E4452C">
        <w:t>6</w:t>
      </w:r>
      <w:r w:rsidRPr="00FD783B">
        <w:t xml:space="preserve">a), together with the widespread hematite and growing Fe proportions, according to the EDS analysis (Points 2 in THS‒40, 60, and 80 of Fig. </w:t>
      </w:r>
      <w:r w:rsidR="00E4452C">
        <w:t>6</w:t>
      </w:r>
      <w:r w:rsidRPr="00FD783B">
        <w:t xml:space="preserve">a). With </w:t>
      </w:r>
      <w:r w:rsidR="0015379F" w:rsidRPr="00FD783B">
        <w:t xml:space="preserve">the </w:t>
      </w:r>
      <w:r w:rsidRPr="00FD783B">
        <w:t xml:space="preserve">increase </w:t>
      </w:r>
      <w:r w:rsidR="0015379F" w:rsidRPr="00FD783B">
        <w:t xml:space="preserve">of </w:t>
      </w:r>
      <w:r w:rsidRPr="00FD783B">
        <w:t>the sintering temperature</w:t>
      </w:r>
      <w:r w:rsidR="0015379F" w:rsidRPr="00FD783B">
        <w:t xml:space="preserve"> to 1200 </w:t>
      </w:r>
      <w:proofErr w:type="spellStart"/>
      <w:r w:rsidR="00654BB4" w:rsidRPr="00654BB4">
        <w:rPr>
          <w:vertAlign w:val="superscript"/>
        </w:rPr>
        <w:t>o</w:t>
      </w:r>
      <w:r w:rsidR="00654BB4" w:rsidRPr="00654BB4">
        <w:t>C</w:t>
      </w:r>
      <w:proofErr w:type="spellEnd"/>
      <w:r w:rsidRPr="00FD783B">
        <w:t xml:space="preserve">, the loose and messy texture turned dense and neat up (Fig. </w:t>
      </w:r>
      <w:r w:rsidR="0057792B" w:rsidRPr="00FD783B">
        <w:t>S</w:t>
      </w:r>
      <w:r w:rsidR="0057792B">
        <w:t>3</w:t>
      </w:r>
      <w:r w:rsidRPr="00FD783B">
        <w:t xml:space="preserve">), which effectively compensated the potential formation of pores and cracks from the </w:t>
      </w:r>
      <w:r w:rsidR="0015379F" w:rsidRPr="00FD783B">
        <w:t xml:space="preserve">ignition of </w:t>
      </w:r>
      <w:r w:rsidRPr="00FD783B">
        <w:t>organic</w:t>
      </w:r>
      <w:r w:rsidR="0015379F" w:rsidRPr="00FD783B">
        <w:t>s</w:t>
      </w:r>
      <w:r w:rsidRPr="00FD783B">
        <w:t xml:space="preserve">. The etched samples displayed the change of glass matrix (Fig. </w:t>
      </w:r>
      <w:r w:rsidR="00E4452C">
        <w:t>6</w:t>
      </w:r>
      <w:r w:rsidRPr="00FD783B">
        <w:t xml:space="preserve">b). From 550 to </w:t>
      </w:r>
      <w:bookmarkStart w:id="114" w:name="OLE_LINK18"/>
      <w:r w:rsidRPr="00FD783B">
        <w:t xml:space="preserve">900 </w:t>
      </w:r>
      <w:bookmarkEnd w:id="114"/>
      <w:proofErr w:type="spellStart"/>
      <w:r w:rsidR="00654BB4" w:rsidRPr="00654BB4">
        <w:rPr>
          <w:vertAlign w:val="superscript"/>
        </w:rPr>
        <w:t>o</w:t>
      </w:r>
      <w:r w:rsidR="00654BB4" w:rsidRPr="00654BB4">
        <w:t>C</w:t>
      </w:r>
      <w:proofErr w:type="spellEnd"/>
      <w:r w:rsidRPr="00FD783B">
        <w:t xml:space="preserve">, muscovite with a higher Al content co-exited with quartz and silicates; from 1000 to 1200 </w:t>
      </w:r>
      <w:proofErr w:type="spellStart"/>
      <w:r w:rsidR="00654BB4" w:rsidRPr="00654BB4">
        <w:rPr>
          <w:vertAlign w:val="superscript"/>
        </w:rPr>
        <w:t>o</w:t>
      </w:r>
      <w:r w:rsidR="00654BB4" w:rsidRPr="00654BB4">
        <w:t>C</w:t>
      </w:r>
      <w:proofErr w:type="spellEnd"/>
      <w:r w:rsidRPr="00FD783B">
        <w:t xml:space="preserve"> (Points 2 </w:t>
      </w:r>
      <w:r w:rsidR="0015379F" w:rsidRPr="00FD783B">
        <w:t>in</w:t>
      </w:r>
      <w:r w:rsidRPr="00FD783B">
        <w:t xml:space="preserve"> Fig. </w:t>
      </w:r>
      <w:r w:rsidR="00E4452C">
        <w:t>6</w:t>
      </w:r>
      <w:r w:rsidRPr="00FD783B">
        <w:t xml:space="preserve">b), Fe was increasingly incorporated to form hematite, evolving from the cluster form to widespread and smaller ones; mullite was a binary aluminosilicate mineral, and its intact phase was clearly displayed </w:t>
      </w:r>
      <w:r w:rsidR="0015379F" w:rsidRPr="00FD783B">
        <w:t xml:space="preserve">in the tiles sintered at </w:t>
      </w:r>
      <w:r w:rsidRPr="00FD783B">
        <w:t xml:space="preserve">1200 </w:t>
      </w:r>
      <w:proofErr w:type="spellStart"/>
      <w:r w:rsidR="00654BB4" w:rsidRPr="00654BB4">
        <w:rPr>
          <w:vertAlign w:val="superscript"/>
        </w:rPr>
        <w:t>o</w:t>
      </w:r>
      <w:r w:rsidR="00654BB4" w:rsidRPr="00654BB4">
        <w:t>C</w:t>
      </w:r>
      <w:proofErr w:type="spellEnd"/>
      <w:r w:rsidRPr="00FD783B">
        <w:t xml:space="preserve"> (Point 1 in T‒1200 of Fig. </w:t>
      </w:r>
      <w:r w:rsidR="00E4452C">
        <w:t>6</w:t>
      </w:r>
      <w:r w:rsidRPr="00FD783B">
        <w:t xml:space="preserve">b). Temperature rise has been confirmed to </w:t>
      </w:r>
      <w:r w:rsidR="0015379F" w:rsidRPr="00FD783B">
        <w:t>enhance</w:t>
      </w:r>
      <w:r w:rsidRPr="00FD783B">
        <w:t xml:space="preserve"> the transformation of aluminosilicate to mullite in the matrix </w:t>
      </w:r>
      <w:r w:rsidRPr="00FD783B">
        <w:rPr>
          <w:noProof/>
        </w:rPr>
        <w:t>(Liang et al., 2019)</w:t>
      </w:r>
      <w:r w:rsidR="00331613">
        <w:t>.</w:t>
      </w:r>
    </w:p>
    <w:p w14:paraId="2787EA73" w14:textId="77777777" w:rsidR="00331613" w:rsidRDefault="00331613" w:rsidP="00331613">
      <w:pPr>
        <w:adjustRightInd w:val="0"/>
        <w:snapToGrid w:val="0"/>
        <w:spacing w:line="480" w:lineRule="auto"/>
      </w:pPr>
    </w:p>
    <w:p w14:paraId="2AE99B06" w14:textId="13B24836" w:rsidR="00331613" w:rsidRDefault="00331613" w:rsidP="00331613">
      <w:pPr>
        <w:adjustRightInd w:val="0"/>
        <w:snapToGrid w:val="0"/>
        <w:spacing w:line="480" w:lineRule="auto"/>
      </w:pPr>
      <w:r>
        <w:rPr>
          <w:noProof/>
        </w:rPr>
        <w:lastRenderedPageBreak/>
        <w:drawing>
          <wp:inline distT="0" distB="0" distL="0" distR="0" wp14:anchorId="3988EE13" wp14:editId="55221A0E">
            <wp:extent cx="5511800" cy="6641112"/>
            <wp:effectExtent l="0" t="0" r="0" b="7620"/>
            <wp:docPr id="1" name="图片 1" descr="图片包含 窗户, 照片, 不同, 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窗户, 照片, 不同, 橱柜&#10;&#10;描述已自动生成"/>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27" t="1219" b="517"/>
                    <a:stretch/>
                  </pic:blipFill>
                  <pic:spPr bwMode="auto">
                    <a:xfrm>
                      <a:off x="0" y="0"/>
                      <a:ext cx="5520203" cy="6651236"/>
                    </a:xfrm>
                    <a:prstGeom prst="rect">
                      <a:avLst/>
                    </a:prstGeom>
                    <a:noFill/>
                    <a:ln>
                      <a:noFill/>
                    </a:ln>
                    <a:extLst>
                      <a:ext uri="{53640926-AAD7-44D8-BBD7-CCE9431645EC}">
                        <a14:shadowObscured xmlns:a14="http://schemas.microsoft.com/office/drawing/2010/main"/>
                      </a:ext>
                    </a:extLst>
                  </pic:spPr>
                </pic:pic>
              </a:graphicData>
            </a:graphic>
          </wp:inline>
        </w:drawing>
      </w:r>
    </w:p>
    <w:p w14:paraId="750EC33D" w14:textId="6CDC72B4" w:rsidR="000D7881" w:rsidRPr="00FD783B" w:rsidRDefault="000D7881" w:rsidP="00623B10">
      <w:pPr>
        <w:snapToGrid w:val="0"/>
        <w:spacing w:line="480" w:lineRule="auto"/>
        <w:jc w:val="center"/>
        <w:outlineLvl w:val="3"/>
      </w:pPr>
      <w:r w:rsidRPr="00FD783B">
        <w:rPr>
          <w:rFonts w:eastAsia="Calibri"/>
          <w:bCs/>
        </w:rPr>
        <w:t xml:space="preserve">Fig. </w:t>
      </w:r>
      <w:r w:rsidR="00E4452C">
        <w:rPr>
          <w:rFonts w:eastAsia="Calibri"/>
          <w:bCs/>
        </w:rPr>
        <w:t>6</w:t>
      </w:r>
      <w:r w:rsidRPr="00FD783B">
        <w:rPr>
          <w:rFonts w:eastAsia="Calibri"/>
          <w:bCs/>
        </w:rPr>
        <w:t xml:space="preserve">. </w:t>
      </w:r>
      <w:bookmarkStart w:id="115" w:name="_Hlk120127594"/>
      <w:r w:rsidRPr="00FD783B">
        <w:t xml:space="preserve">SEM-backscattered electron images of the sintered </w:t>
      </w:r>
      <w:r w:rsidR="008B3704" w:rsidRPr="00FD783B">
        <w:t xml:space="preserve">ceramic </w:t>
      </w:r>
      <w:r w:rsidRPr="00FD783B">
        <w:t xml:space="preserve">tiles: (a) different </w:t>
      </w:r>
      <w:r w:rsidRPr="00FD783B">
        <w:rPr>
          <w:rFonts w:eastAsia="等线"/>
        </w:rPr>
        <w:t>THS dosing ratios</w:t>
      </w:r>
      <w:r w:rsidRPr="00FD783B">
        <w:t xml:space="preserve"> (THS‒0 to THS‒100), and (b) different sintering temperatures (T‒550 to T‒1200). Samples in group b were etched via HF before observation.</w:t>
      </w:r>
      <w:bookmarkEnd w:id="115"/>
    </w:p>
    <w:p w14:paraId="5264EF86" w14:textId="77777777" w:rsidR="000D7881" w:rsidRPr="00FD783B" w:rsidRDefault="000D7881" w:rsidP="00623B10">
      <w:pPr>
        <w:snapToGrid w:val="0"/>
        <w:spacing w:line="480" w:lineRule="auto"/>
      </w:pPr>
    </w:p>
    <w:p w14:paraId="0545C4F8" w14:textId="6C4ED4F5" w:rsidR="000D7881" w:rsidRPr="00FD783B" w:rsidRDefault="000D7881" w:rsidP="00623B10">
      <w:pPr>
        <w:snapToGrid w:val="0"/>
        <w:spacing w:line="480" w:lineRule="auto"/>
        <w:ind w:firstLineChars="200" w:firstLine="480"/>
      </w:pPr>
      <w:bookmarkStart w:id="116" w:name="OLE_LINK50"/>
      <w:r w:rsidRPr="00FD783B">
        <w:t xml:space="preserve">Based on the material identification and structural analysis, the following mechanism can be inferred. Particles of montmorillonite </w:t>
      </w:r>
      <w:bookmarkStart w:id="117" w:name="OLE_LINK4"/>
      <w:r w:rsidRPr="00FD783B">
        <w:t>are negatively charge</w:t>
      </w:r>
      <w:bookmarkEnd w:id="117"/>
      <w:r w:rsidRPr="00FD783B">
        <w:t>d</w:t>
      </w:r>
      <w:bookmarkEnd w:id="116"/>
      <w:r w:rsidRPr="00FD783B">
        <w:t xml:space="preserve"> due to isomorphic substitutions, </w:t>
      </w:r>
      <w:r w:rsidRPr="00FD783B">
        <w:lastRenderedPageBreak/>
        <w:t xml:space="preserve">and each of them is mainly attracted by Van der Waals force and capillary interactions </w:t>
      </w:r>
      <w:r w:rsidRPr="00FD783B">
        <w:rPr>
          <w:noProof/>
        </w:rPr>
        <w:t>(Luo et al., 2017; Tombacz and Szekeres, 2004)</w:t>
      </w:r>
      <w:r w:rsidRPr="00FD783B">
        <w:t xml:space="preserve">. The THS incorporation with </w:t>
      </w:r>
      <w:bookmarkStart w:id="118" w:name="OLE_LINK70"/>
      <w:r w:rsidRPr="00FD783B">
        <w:t xml:space="preserve">smaller particle sizes increases the contact area and cation exchange, and </w:t>
      </w:r>
      <w:bookmarkEnd w:id="118"/>
      <w:r w:rsidRPr="00FD783B">
        <w:t xml:space="preserve">the wide size distribution benefits the particle arrangement </w:t>
      </w:r>
      <w:r w:rsidR="007D7224" w:rsidRPr="00FD783B">
        <w:t xml:space="preserve">and contacts </w:t>
      </w:r>
      <w:r w:rsidRPr="00FD783B">
        <w:rPr>
          <w:noProof/>
        </w:rPr>
        <w:t>(Wonisch et al., 2009)</w:t>
      </w:r>
      <w:r w:rsidRPr="00FD783B">
        <w:t xml:space="preserve">. </w:t>
      </w:r>
      <w:r w:rsidR="00BC5F1F" w:rsidRPr="00FD783B">
        <w:t>However, s</w:t>
      </w:r>
      <w:r w:rsidRPr="00FD783B">
        <w:t xml:space="preserve">uch a positive effect would to a certain extent counteract the organic release and structure weakness. </w:t>
      </w:r>
      <w:bookmarkStart w:id="119" w:name="OLE_LINK61"/>
      <w:r w:rsidRPr="00FD783B">
        <w:t xml:space="preserve">During the sintering, particles grow to approach </w:t>
      </w:r>
      <w:r w:rsidR="00BC5F1F" w:rsidRPr="00FD783B">
        <w:t xml:space="preserve">others </w:t>
      </w:r>
      <w:r w:rsidRPr="00FD783B">
        <w:t xml:space="preserve">and form </w:t>
      </w:r>
      <w:bookmarkStart w:id="120" w:name="OLE_LINK71"/>
      <w:r w:rsidRPr="00FD783B">
        <w:t xml:space="preserve">grain boundary </w:t>
      </w:r>
      <w:bookmarkEnd w:id="120"/>
      <w:r w:rsidRPr="00FD783B">
        <w:t>with new phase</w:t>
      </w:r>
      <w:r w:rsidR="00BC5F1F" w:rsidRPr="00FD783B">
        <w:t>s</w:t>
      </w:r>
      <w:r w:rsidRPr="00FD783B">
        <w:t xml:space="preserve">, followed by continuous growth and material diffusion until eventual vacancy annihilation </w:t>
      </w:r>
      <w:r w:rsidRPr="00FD783B">
        <w:rPr>
          <w:noProof/>
        </w:rPr>
        <w:t>(Tikare et al., 2003)</w:t>
      </w:r>
      <w:r w:rsidRPr="00FD783B">
        <w:t>. Cristobalite</w:t>
      </w:r>
      <w:bookmarkEnd w:id="119"/>
      <w:r w:rsidRPr="00FD783B">
        <w:t xml:space="preserve"> primarily contributes to the product toughness and compactness, together with the increasing contents of aluminum phosphate, hematite, and mullite derived from THS. Muscovite in montmorillonite, hematite and oxides of alkali and alkaline-earth metals </w:t>
      </w:r>
      <w:r w:rsidR="00BC5F1F" w:rsidRPr="00FD783B">
        <w:t xml:space="preserve">from </w:t>
      </w:r>
      <w:r w:rsidRPr="00FD783B">
        <w:t xml:space="preserve">THS </w:t>
      </w:r>
      <w:r w:rsidR="00BC5F1F" w:rsidRPr="00FD783B">
        <w:t xml:space="preserve">function </w:t>
      </w:r>
      <w:r w:rsidRPr="00FD783B">
        <w:t xml:space="preserve">as the fluxing agents in the mixture, reducing the melting barrier and facilitating the phase transformation </w:t>
      </w:r>
      <w:r w:rsidRPr="00FD783B">
        <w:rPr>
          <w:noProof/>
        </w:rPr>
        <w:t>(Acchar et al., 2013; Tsai et al., 2006; Zhou et al., 2013)</w:t>
      </w:r>
      <w:r w:rsidRPr="00FD783B">
        <w:t xml:space="preserve">. </w:t>
      </w:r>
      <w:r w:rsidR="00BC5F1F" w:rsidRPr="00FD783B">
        <w:t xml:space="preserve">At a higher </w:t>
      </w:r>
      <w:r w:rsidRPr="00FD783B">
        <w:t xml:space="preserve">temperature, fusion of particles and elimination of interfacial pores are accelerated. Quartz is transformed into cristobalite, accompanied by the sintering of aluminum phosphate, hematite, and mullite at 1200 </w:t>
      </w:r>
      <w:proofErr w:type="spellStart"/>
      <w:r w:rsidR="00654BB4" w:rsidRPr="00654BB4">
        <w:rPr>
          <w:vertAlign w:val="superscript"/>
        </w:rPr>
        <w:t>o</w:t>
      </w:r>
      <w:r w:rsidR="00654BB4" w:rsidRPr="00654BB4">
        <w:t>C</w:t>
      </w:r>
      <w:proofErr w:type="spellEnd"/>
      <w:r w:rsidRPr="00FD783B">
        <w:t>, forming the well-structured functional materials in the ceramic products.</w:t>
      </w:r>
    </w:p>
    <w:p w14:paraId="60A2170A" w14:textId="77777777" w:rsidR="000D7881" w:rsidRPr="00FD783B" w:rsidRDefault="000D7881" w:rsidP="00623B10">
      <w:pPr>
        <w:snapToGrid w:val="0"/>
        <w:spacing w:line="480" w:lineRule="auto"/>
      </w:pPr>
    </w:p>
    <w:p w14:paraId="455AB645" w14:textId="77777777" w:rsidR="000D7881" w:rsidRPr="00FD783B" w:rsidRDefault="000D7881" w:rsidP="00623B10">
      <w:pPr>
        <w:pStyle w:val="1"/>
        <w:snapToGrid w:val="0"/>
      </w:pPr>
      <w:r w:rsidRPr="00FD783B">
        <w:t>4. Conclusions</w:t>
      </w:r>
    </w:p>
    <w:p w14:paraId="440F5486" w14:textId="4659B5B2" w:rsidR="000D7881" w:rsidRPr="00FD783B" w:rsidRDefault="00DD1D3C" w:rsidP="00623B10">
      <w:pPr>
        <w:snapToGrid w:val="0"/>
        <w:spacing w:line="480" w:lineRule="auto"/>
        <w:ind w:firstLineChars="200" w:firstLine="480"/>
      </w:pPr>
      <w:r w:rsidRPr="00FD783B">
        <w:t xml:space="preserve">Wastewater </w:t>
      </w:r>
      <w:r w:rsidR="000D7881" w:rsidRPr="00FD783B">
        <w:t xml:space="preserve">sludge has a similar mineralogical composition to clay and hence, sludge can be sintered with clay to produce construction ceramic materials and realize sludge </w:t>
      </w:r>
      <w:r w:rsidRPr="00FD783B">
        <w:t>stabilization</w:t>
      </w:r>
      <w:r w:rsidR="000D7881" w:rsidRPr="00FD783B">
        <w:t xml:space="preserve">. After the treatment of thermal hydrolysis for the recovery of organics and nutrients from the sludge, the THS with a reduced organic content was proven to be a more feasible substitute of clay than the raw sludge for the sintering of </w:t>
      </w:r>
      <w:r w:rsidR="00990144">
        <w:t xml:space="preserve">construction </w:t>
      </w:r>
      <w:r w:rsidR="000D7881" w:rsidRPr="00FD783B">
        <w:t>ceramics. A high THS dosing ratio of up to 40% can be achieved with montmorillonite clay for the fabrication of ceramic tiles (THS</w:t>
      </w:r>
      <w:r w:rsidR="000D7881" w:rsidRPr="00FD783B">
        <w:rPr>
          <w:rFonts w:eastAsia="Times-Italic"/>
          <w:iCs/>
          <w:kern w:val="0"/>
        </w:rPr>
        <w:t>‒40</w:t>
      </w:r>
      <w:r w:rsidR="000D7881" w:rsidRPr="00FD783B">
        <w:t xml:space="preserve">). The tiles sintered </w:t>
      </w:r>
      <w:r w:rsidR="00E176EC" w:rsidRPr="00FD783B">
        <w:t>at</w:t>
      </w:r>
      <w:r w:rsidR="000D7881" w:rsidRPr="00FD783B">
        <w:t xml:space="preserve"> 1200 </w:t>
      </w:r>
      <w:proofErr w:type="spellStart"/>
      <w:r w:rsidR="00654BB4" w:rsidRPr="00654BB4">
        <w:rPr>
          <w:vertAlign w:val="superscript"/>
        </w:rPr>
        <w:t>o</w:t>
      </w:r>
      <w:r w:rsidR="00654BB4" w:rsidRPr="00654BB4">
        <w:t>C</w:t>
      </w:r>
      <w:proofErr w:type="spellEnd"/>
      <w:r w:rsidR="000D7881" w:rsidRPr="00FD783B">
        <w:t xml:space="preserve"> exhibited </w:t>
      </w:r>
      <w:r w:rsidR="00E176EC" w:rsidRPr="00FD783B">
        <w:t xml:space="preserve">the </w:t>
      </w:r>
      <w:r w:rsidR="000D7881" w:rsidRPr="00FD783B">
        <w:t xml:space="preserve">performance </w:t>
      </w:r>
      <w:r w:rsidR="00E176EC" w:rsidRPr="00FD783B">
        <w:t xml:space="preserve">close </w:t>
      </w:r>
      <w:r w:rsidR="000D7881" w:rsidRPr="00FD783B">
        <w:t>to the tiles made from single montmorillonite (THS</w:t>
      </w:r>
      <w:r w:rsidR="000D7881" w:rsidRPr="00FD783B">
        <w:rPr>
          <w:rFonts w:eastAsia="Times-Italic"/>
          <w:iCs/>
          <w:kern w:val="0"/>
        </w:rPr>
        <w:t>‒0</w:t>
      </w:r>
      <w:r w:rsidR="000D7881" w:rsidRPr="00FD783B">
        <w:t xml:space="preserve">) in terms of the densification degree and </w:t>
      </w:r>
      <w:bookmarkStart w:id="121" w:name="OLE_LINK62"/>
      <w:r w:rsidR="000D7881" w:rsidRPr="00FD783B">
        <w:t>mechanical strength</w:t>
      </w:r>
      <w:bookmarkEnd w:id="121"/>
      <w:r w:rsidR="000D7881" w:rsidRPr="00FD783B">
        <w:t xml:space="preserve">, while </w:t>
      </w:r>
      <w:r w:rsidR="000D7881" w:rsidRPr="00FD783B">
        <w:lastRenderedPageBreak/>
        <w:t xml:space="preserve">the leaching of heavy metals </w:t>
      </w:r>
      <w:r w:rsidR="00E176EC" w:rsidRPr="00FD783B">
        <w:t>wa</w:t>
      </w:r>
      <w:r w:rsidR="000D7881" w:rsidRPr="00FD783B">
        <w:t>s below the detection limit. Beyond this dosing level (i.e., &gt;40%), the quality and performance of the tiles beg</w:t>
      </w:r>
      <w:r w:rsidR="00E176EC" w:rsidRPr="00FD783B">
        <w:t xml:space="preserve">an </w:t>
      </w:r>
      <w:r w:rsidR="000D7881" w:rsidRPr="00FD783B">
        <w:t>deteriorate</w:t>
      </w:r>
      <w:r w:rsidR="00294357" w:rsidRPr="00FD783B">
        <w:t xml:space="preserve"> with more </w:t>
      </w:r>
      <w:r w:rsidR="000D7881" w:rsidRPr="00FD783B">
        <w:t>crack</w:t>
      </w:r>
      <w:r w:rsidR="00294357" w:rsidRPr="00FD783B">
        <w:t>s</w:t>
      </w:r>
      <w:r w:rsidR="00E05A00" w:rsidRPr="00FD783B">
        <w:t xml:space="preserve"> formed</w:t>
      </w:r>
      <w:r w:rsidR="000D7881" w:rsidRPr="00FD783B">
        <w:t xml:space="preserve">. Under the same conditions, the THS‒40 tiles showed a more intact and denser structure with 10% improved compressive strength (136.8 vs. 123.2 MPa) over the tiles </w:t>
      </w:r>
      <w:r w:rsidR="00E176EC" w:rsidRPr="00FD783B">
        <w:t>with</w:t>
      </w:r>
      <w:r w:rsidR="000D7881" w:rsidRPr="00FD783B">
        <w:t xml:space="preserve"> raw sludge (RS‒40). The XRD patterns revealed </w:t>
      </w:r>
      <w:r w:rsidR="00990144">
        <w:t xml:space="preserve">that </w:t>
      </w:r>
      <w:r w:rsidR="000D7881" w:rsidRPr="00FD783B">
        <w:t xml:space="preserve">the </w:t>
      </w:r>
      <w:r w:rsidR="00990144">
        <w:t xml:space="preserve">composition of </w:t>
      </w:r>
      <w:r w:rsidR="000D7881" w:rsidRPr="00FD783B">
        <w:t>sludge incorporated tiles</w:t>
      </w:r>
      <w:r w:rsidR="00990144">
        <w:t xml:space="preserve"> was </w:t>
      </w:r>
      <w:r w:rsidR="000D7881" w:rsidRPr="00FD783B">
        <w:rPr>
          <w:rFonts w:eastAsia="Times-Italic"/>
          <w:iCs/>
          <w:kern w:val="0"/>
        </w:rPr>
        <w:t>domina</w:t>
      </w:r>
      <w:r w:rsidR="00990144">
        <w:rPr>
          <w:rFonts w:eastAsia="Times-Italic"/>
          <w:iCs/>
          <w:kern w:val="0"/>
        </w:rPr>
        <w:t xml:space="preserve">ted by </w:t>
      </w:r>
      <w:r w:rsidR="000D7881" w:rsidRPr="00FD783B">
        <w:rPr>
          <w:rFonts w:eastAsia="Times-Italic"/>
          <w:iCs/>
          <w:kern w:val="0"/>
        </w:rPr>
        <w:t>cristobalite and a small amount of aluminum phosphate and mullite. Hematite increase</w:t>
      </w:r>
      <w:r w:rsidR="00E176EC" w:rsidRPr="00FD783B">
        <w:rPr>
          <w:rFonts w:eastAsia="Times-Italic"/>
          <w:iCs/>
          <w:kern w:val="0"/>
        </w:rPr>
        <w:t xml:space="preserve">d with an increasing </w:t>
      </w:r>
      <w:r w:rsidR="000D7881" w:rsidRPr="00FD783B">
        <w:t xml:space="preserve">THS dosing ratio, coupled with the tile color change from grey to </w:t>
      </w:r>
      <w:r w:rsidR="000D7881" w:rsidRPr="00FD783B">
        <w:rPr>
          <w:rStyle w:val="hgkelc"/>
        </w:rPr>
        <w:t>brown. Increasing</w:t>
      </w:r>
      <w:r w:rsidR="00E176EC" w:rsidRPr="00FD783B">
        <w:rPr>
          <w:rStyle w:val="hgkelc"/>
        </w:rPr>
        <w:t xml:space="preserve"> the sintering</w:t>
      </w:r>
      <w:r w:rsidR="000D7881" w:rsidRPr="00FD783B">
        <w:rPr>
          <w:rStyle w:val="hgkelc"/>
        </w:rPr>
        <w:t xml:space="preserve"> temperature to </w:t>
      </w:r>
      <w:r w:rsidR="000D7881" w:rsidRPr="00FD783B">
        <w:rPr>
          <w:rFonts w:eastAsia="Times-Italic"/>
          <w:iCs/>
          <w:kern w:val="0"/>
        </w:rPr>
        <w:t xml:space="preserve">1200 </w:t>
      </w:r>
      <w:proofErr w:type="spellStart"/>
      <w:r w:rsidR="00654BB4" w:rsidRPr="00654BB4">
        <w:rPr>
          <w:vertAlign w:val="superscript"/>
        </w:rPr>
        <w:t>o</w:t>
      </w:r>
      <w:r w:rsidR="00654BB4" w:rsidRPr="00654BB4">
        <w:t>C</w:t>
      </w:r>
      <w:proofErr w:type="spellEnd"/>
      <w:r w:rsidR="000D7881" w:rsidRPr="00FD783B">
        <w:t xml:space="preserve"> guarantee</w:t>
      </w:r>
      <w:r w:rsidR="00E176EC" w:rsidRPr="00FD783B">
        <w:t>d</w:t>
      </w:r>
      <w:r w:rsidR="000D7881" w:rsidRPr="00FD783B">
        <w:t xml:space="preserve"> the transformation of principal quartz to </w:t>
      </w:r>
      <w:r w:rsidR="000D7881" w:rsidRPr="00FD783B">
        <w:rPr>
          <w:rFonts w:eastAsia="Times-Italic"/>
          <w:iCs/>
          <w:kern w:val="0"/>
        </w:rPr>
        <w:t xml:space="preserve">cristobalite and the sintering of mullite and hematite. </w:t>
      </w:r>
      <w:bookmarkStart w:id="122" w:name="_Hlk128391057"/>
      <w:r w:rsidR="000D7881" w:rsidRPr="00FD783B">
        <w:rPr>
          <w:rFonts w:eastAsia="Times-Italic"/>
          <w:iCs/>
          <w:kern w:val="0"/>
        </w:rPr>
        <w:t xml:space="preserve">The incorporation and stabilization of THS into </w:t>
      </w:r>
      <w:r w:rsidR="000D7881" w:rsidRPr="00FD783B">
        <w:t>montmorillonite</w:t>
      </w:r>
      <w:r w:rsidR="000D7881" w:rsidRPr="00FD783B">
        <w:rPr>
          <w:rFonts w:eastAsia="Times-Italic"/>
          <w:iCs/>
          <w:kern w:val="0"/>
        </w:rPr>
        <w:t xml:space="preserve"> can be readily </w:t>
      </w:r>
      <w:r w:rsidR="00990144">
        <w:rPr>
          <w:rFonts w:eastAsia="Times-Italic"/>
          <w:iCs/>
          <w:kern w:val="0"/>
        </w:rPr>
        <w:t xml:space="preserve">extended </w:t>
      </w:r>
      <w:r w:rsidR="000D7881" w:rsidRPr="00FD783B">
        <w:rPr>
          <w:rFonts w:eastAsia="Times-Italic"/>
          <w:iCs/>
          <w:kern w:val="0"/>
        </w:rPr>
        <w:t>to other types of clay for sintering construction ceramic</w:t>
      </w:r>
      <w:r w:rsidR="00990144">
        <w:rPr>
          <w:rFonts w:eastAsia="Times-Italic"/>
          <w:iCs/>
          <w:kern w:val="0"/>
        </w:rPr>
        <w:t>s</w:t>
      </w:r>
      <w:r w:rsidR="00030EDA">
        <w:rPr>
          <w:rFonts w:eastAsia="Times-Italic"/>
          <w:iCs/>
          <w:kern w:val="0"/>
        </w:rPr>
        <w:t xml:space="preserve">, endowed with </w:t>
      </w:r>
      <w:r w:rsidR="004D5AEC" w:rsidRPr="004D5AEC">
        <w:rPr>
          <w:rFonts w:eastAsia="Times-Italic"/>
          <w:iCs/>
          <w:kern w:val="0"/>
        </w:rPr>
        <w:t>different</w:t>
      </w:r>
      <w:r w:rsidR="00030EDA">
        <w:rPr>
          <w:rFonts w:eastAsia="Times-Italic"/>
          <w:iCs/>
          <w:kern w:val="0"/>
        </w:rPr>
        <w:t xml:space="preserve"> </w:t>
      </w:r>
      <w:r w:rsidR="005856D8">
        <w:rPr>
          <w:rFonts w:eastAsia="Times-Italic"/>
          <w:iCs/>
          <w:kern w:val="0"/>
        </w:rPr>
        <w:t xml:space="preserve">colors, </w:t>
      </w:r>
      <w:r w:rsidR="00062443">
        <w:rPr>
          <w:rFonts w:eastAsia="Times-Italic"/>
          <w:iCs/>
          <w:kern w:val="0"/>
        </w:rPr>
        <w:t xml:space="preserve">shapes, and </w:t>
      </w:r>
      <w:r w:rsidR="00030EDA">
        <w:rPr>
          <w:rFonts w:eastAsia="Times-Italic"/>
          <w:iCs/>
          <w:kern w:val="0"/>
        </w:rPr>
        <w:t xml:space="preserve">sizes, </w:t>
      </w:r>
      <w:r w:rsidR="00062443">
        <w:rPr>
          <w:rFonts w:eastAsia="Times-Italic"/>
          <w:iCs/>
          <w:kern w:val="0"/>
        </w:rPr>
        <w:t>catering to different application scenarios</w:t>
      </w:r>
      <w:r w:rsidR="000D7881" w:rsidRPr="00FD783B">
        <w:rPr>
          <w:rFonts w:eastAsia="Times-Italic"/>
          <w:iCs/>
          <w:kern w:val="0"/>
        </w:rPr>
        <w:t xml:space="preserve">. </w:t>
      </w:r>
      <w:bookmarkStart w:id="123" w:name="_Hlk128561626"/>
      <w:bookmarkStart w:id="124" w:name="_Hlk125548586"/>
      <w:bookmarkEnd w:id="122"/>
      <w:r w:rsidR="000D7881" w:rsidRPr="00FD783B">
        <w:rPr>
          <w:rFonts w:eastAsia="Times-Italic"/>
          <w:iCs/>
          <w:kern w:val="0"/>
        </w:rPr>
        <w:t xml:space="preserve">The research demonstrates that sintering of THS instead of raw sludge brings more benefits to the sludge utilization and disposal, </w:t>
      </w:r>
      <w:r w:rsidR="00990144">
        <w:rPr>
          <w:rFonts w:eastAsia="Times-Italic"/>
          <w:iCs/>
          <w:kern w:val="0"/>
        </w:rPr>
        <w:t>as</w:t>
      </w:r>
      <w:r w:rsidR="000D7881" w:rsidRPr="00FD783B">
        <w:rPr>
          <w:rFonts w:eastAsia="Times-Italic"/>
          <w:iCs/>
          <w:kern w:val="0"/>
        </w:rPr>
        <w:t xml:space="preserve"> the prior thermal hydrolysis enables </w:t>
      </w:r>
      <w:r w:rsidR="000D7881" w:rsidRPr="00FD783B">
        <w:t>valorization</w:t>
      </w:r>
      <w:r w:rsidR="000D7881" w:rsidRPr="00FD783B">
        <w:rPr>
          <w:rFonts w:eastAsia="Times-Italic"/>
          <w:iCs/>
          <w:kern w:val="0"/>
        </w:rPr>
        <w:t xml:space="preserve"> of the sludge</w:t>
      </w:r>
      <w:r w:rsidR="00990144">
        <w:rPr>
          <w:rFonts w:eastAsia="Times-Italic"/>
          <w:iCs/>
          <w:kern w:val="0"/>
        </w:rPr>
        <w:t xml:space="preserve"> organics</w:t>
      </w:r>
      <w:r w:rsidR="00E176EC" w:rsidRPr="00FD783B">
        <w:rPr>
          <w:rFonts w:eastAsia="Times-Italic"/>
          <w:iCs/>
          <w:kern w:val="0"/>
        </w:rPr>
        <w:t>,</w:t>
      </w:r>
      <w:r w:rsidR="000D7881" w:rsidRPr="00FD783B">
        <w:rPr>
          <w:rFonts w:eastAsia="Times-Italic"/>
          <w:iCs/>
          <w:kern w:val="0"/>
        </w:rPr>
        <w:t xml:space="preserve"> allows a higher </w:t>
      </w:r>
      <w:r w:rsidR="00E176EC" w:rsidRPr="00FD783B">
        <w:rPr>
          <w:rFonts w:eastAsia="Times-Italic"/>
          <w:iCs/>
          <w:kern w:val="0"/>
        </w:rPr>
        <w:t xml:space="preserve">sludge dosing </w:t>
      </w:r>
      <w:r w:rsidR="000D7881" w:rsidRPr="00FD783B">
        <w:rPr>
          <w:rFonts w:eastAsia="Times-Italic"/>
          <w:iCs/>
          <w:kern w:val="0"/>
        </w:rPr>
        <w:t>ratio</w:t>
      </w:r>
      <w:r w:rsidR="00E176EC" w:rsidRPr="00FD783B">
        <w:rPr>
          <w:rFonts w:eastAsia="Times-Italic"/>
          <w:iCs/>
          <w:kern w:val="0"/>
        </w:rPr>
        <w:t>,</w:t>
      </w:r>
      <w:r w:rsidR="000D7881" w:rsidRPr="00FD783B">
        <w:rPr>
          <w:rFonts w:eastAsia="Times-Italic"/>
          <w:iCs/>
          <w:kern w:val="0"/>
        </w:rPr>
        <w:t xml:space="preserve"> and produce</w:t>
      </w:r>
      <w:r w:rsidR="003305DB" w:rsidRPr="00FD783B">
        <w:rPr>
          <w:rFonts w:eastAsia="Times-Italic"/>
          <w:iCs/>
          <w:kern w:val="0"/>
        </w:rPr>
        <w:t>s</w:t>
      </w:r>
      <w:r w:rsidR="000D7881" w:rsidRPr="00FD783B">
        <w:rPr>
          <w:rFonts w:eastAsia="Times-Italic"/>
          <w:iCs/>
          <w:kern w:val="0"/>
        </w:rPr>
        <w:t xml:space="preserve"> the ceramics of improved quality, contributing to the </w:t>
      </w:r>
      <w:r w:rsidR="00E176EC" w:rsidRPr="00FD783B">
        <w:rPr>
          <w:rFonts w:eastAsia="Times-Italic"/>
          <w:iCs/>
          <w:kern w:val="0"/>
        </w:rPr>
        <w:t xml:space="preserve">circular </w:t>
      </w:r>
      <w:r w:rsidR="000D7881" w:rsidRPr="00FD783B">
        <w:rPr>
          <w:rFonts w:eastAsia="Times-Italic"/>
          <w:iCs/>
          <w:kern w:val="0"/>
        </w:rPr>
        <w:t xml:space="preserve">economy and urban sustainability. </w:t>
      </w:r>
      <w:bookmarkEnd w:id="123"/>
    </w:p>
    <w:bookmarkEnd w:id="124"/>
    <w:p w14:paraId="0B1FD9F2" w14:textId="1C1CE5CC" w:rsidR="00A07306" w:rsidRDefault="00A07306" w:rsidP="00A07306">
      <w:pPr>
        <w:snapToGrid w:val="0"/>
        <w:spacing w:line="480" w:lineRule="auto"/>
      </w:pPr>
    </w:p>
    <w:p w14:paraId="03C3A299" w14:textId="77777777" w:rsidR="005E4BD6" w:rsidRDefault="005E4BD6" w:rsidP="005E4BD6">
      <w:pPr>
        <w:pStyle w:val="1"/>
        <w:snapToGrid w:val="0"/>
      </w:pPr>
      <w:proofErr w:type="spellStart"/>
      <w:r>
        <w:t>CRediT</w:t>
      </w:r>
      <w:proofErr w:type="spellEnd"/>
      <w:r>
        <w:t xml:space="preserve"> authorship contribution statement</w:t>
      </w:r>
    </w:p>
    <w:p w14:paraId="03416FBF" w14:textId="77777777" w:rsidR="005E4BD6" w:rsidRDefault="005E4BD6" w:rsidP="005E4BD6">
      <w:pPr>
        <w:snapToGrid w:val="0"/>
        <w:spacing w:line="480" w:lineRule="auto"/>
        <w:ind w:firstLineChars="200" w:firstLine="482"/>
      </w:pPr>
      <w:r w:rsidRPr="00EB72F6">
        <w:rPr>
          <w:b/>
          <w:bCs/>
        </w:rPr>
        <w:t>Lei Wen:</w:t>
      </w:r>
      <w:r>
        <w:t xml:space="preserve"> Conceptualization, Methodology, Investigation, Data curation, Validation, Writing-Original Draft. </w:t>
      </w:r>
      <w:r w:rsidRPr="00EB72F6">
        <w:rPr>
          <w:b/>
          <w:bCs/>
        </w:rPr>
        <w:t xml:space="preserve">Lin </w:t>
      </w:r>
      <w:proofErr w:type="spellStart"/>
      <w:r w:rsidRPr="00EB72F6">
        <w:rPr>
          <w:b/>
          <w:bCs/>
        </w:rPr>
        <w:t>Lin</w:t>
      </w:r>
      <w:proofErr w:type="spellEnd"/>
      <w:r w:rsidRPr="00EB72F6">
        <w:rPr>
          <w:rFonts w:hint="eastAsia"/>
          <w:b/>
          <w:bCs/>
        </w:rPr>
        <w:t>:</w:t>
      </w:r>
      <w:r>
        <w:t xml:space="preserve"> Methodology, Data curation, Validation. </w:t>
      </w:r>
      <w:r w:rsidRPr="00FF65DB">
        <w:rPr>
          <w:rFonts w:eastAsia="仿宋_GB2312"/>
          <w:b/>
        </w:rPr>
        <w:t>Yi-ang Fan</w:t>
      </w:r>
      <w:r>
        <w:rPr>
          <w:rFonts w:eastAsia="仿宋_GB2312"/>
          <w:b/>
        </w:rPr>
        <w:t xml:space="preserve">: </w:t>
      </w:r>
      <w:r>
        <w:t xml:space="preserve">Investigation, Data curation. </w:t>
      </w:r>
      <w:r w:rsidRPr="00FF65DB">
        <w:rPr>
          <w:rFonts w:eastAsia="仿宋_GB2312"/>
          <w:b/>
        </w:rPr>
        <w:t>Yang Luo</w:t>
      </w:r>
      <w:r>
        <w:rPr>
          <w:rFonts w:eastAsia="仿宋_GB2312"/>
          <w:b/>
        </w:rPr>
        <w:t xml:space="preserve">: </w:t>
      </w:r>
      <w:r>
        <w:t>Methodology, Data curation, Validation</w:t>
      </w:r>
      <w:r>
        <w:rPr>
          <w:rFonts w:hint="eastAsia"/>
        </w:rPr>
        <w:t>.</w:t>
      </w:r>
      <w:r>
        <w:t xml:space="preserve"> </w:t>
      </w:r>
      <w:r w:rsidRPr="00FF65DB">
        <w:rPr>
          <w:rFonts w:eastAsia="仿宋_GB2312"/>
          <w:b/>
        </w:rPr>
        <w:t>Sheng-shou Ma</w:t>
      </w:r>
      <w:r>
        <w:rPr>
          <w:rFonts w:eastAsia="仿宋_GB2312"/>
          <w:b/>
        </w:rPr>
        <w:t xml:space="preserve">: </w:t>
      </w:r>
      <w:r>
        <w:t xml:space="preserve">Investigation, Data curation. </w:t>
      </w:r>
      <w:r w:rsidRPr="00FF65DB">
        <w:rPr>
          <w:rFonts w:eastAsia="仿宋_GB2312"/>
          <w:b/>
        </w:rPr>
        <w:t>Ying Zhou</w:t>
      </w:r>
      <w:r>
        <w:rPr>
          <w:rFonts w:eastAsia="仿宋_GB2312"/>
          <w:b/>
        </w:rPr>
        <w:t xml:space="preserve">: </w:t>
      </w:r>
      <w:r>
        <w:t xml:space="preserve">Investigation, Data curation. </w:t>
      </w:r>
      <w:r w:rsidRPr="00FF65DB">
        <w:rPr>
          <w:rFonts w:eastAsia="仿宋_GB2312"/>
          <w:b/>
        </w:rPr>
        <w:t>Chao Yang</w:t>
      </w:r>
      <w:r>
        <w:rPr>
          <w:rFonts w:eastAsia="仿宋_GB2312"/>
          <w:b/>
        </w:rPr>
        <w:t xml:space="preserve">: </w:t>
      </w:r>
      <w:r>
        <w:t xml:space="preserve">Data curation. </w:t>
      </w:r>
      <w:proofErr w:type="spellStart"/>
      <w:r w:rsidRPr="00FF65DB">
        <w:rPr>
          <w:rFonts w:eastAsia="仿宋_GB2312"/>
          <w:b/>
        </w:rPr>
        <w:t>Kaimin</w:t>
      </w:r>
      <w:proofErr w:type="spellEnd"/>
      <w:r w:rsidRPr="00FF65DB">
        <w:rPr>
          <w:rFonts w:eastAsia="仿宋_GB2312"/>
          <w:b/>
        </w:rPr>
        <w:t xml:space="preserve"> Shih</w:t>
      </w:r>
      <w:r>
        <w:rPr>
          <w:rFonts w:eastAsia="仿宋_GB2312"/>
          <w:b/>
        </w:rPr>
        <w:t xml:space="preserve">: </w:t>
      </w:r>
      <w:r>
        <w:t xml:space="preserve">Conceptualization, Methodology. </w:t>
      </w:r>
      <w:r w:rsidRPr="00EB72F6">
        <w:rPr>
          <w:b/>
          <w:bCs/>
        </w:rPr>
        <w:t>Xiao-yan Li:</w:t>
      </w:r>
      <w:r>
        <w:t xml:space="preserve"> Conceptualization, Resources, Writing-Review &amp; Editing, Funding acquisition, Project administration, Supervision.</w:t>
      </w:r>
    </w:p>
    <w:p w14:paraId="1BA87A42" w14:textId="77777777" w:rsidR="005E4BD6" w:rsidRPr="00FD783B" w:rsidRDefault="005E4BD6" w:rsidP="00A07306">
      <w:pPr>
        <w:snapToGrid w:val="0"/>
        <w:spacing w:line="480" w:lineRule="auto"/>
      </w:pPr>
    </w:p>
    <w:p w14:paraId="6284CF11" w14:textId="77777777" w:rsidR="00A8090B" w:rsidRPr="00FD783B" w:rsidRDefault="00A8090B" w:rsidP="00A8090B">
      <w:pPr>
        <w:pStyle w:val="1"/>
        <w:snapToGrid w:val="0"/>
      </w:pPr>
      <w:bookmarkStart w:id="125" w:name="OLE_LINK99"/>
      <w:r w:rsidRPr="00FD783B">
        <w:t>Acknowledgement</w:t>
      </w:r>
    </w:p>
    <w:bookmarkEnd w:id="125"/>
    <w:p w14:paraId="1C08A29C" w14:textId="2DC9164E" w:rsidR="00A8090B" w:rsidRPr="00FD783B" w:rsidRDefault="004D5AEC" w:rsidP="00A8090B">
      <w:pPr>
        <w:snapToGrid w:val="0"/>
        <w:spacing w:after="120" w:line="480" w:lineRule="auto"/>
        <w:ind w:firstLineChars="200" w:firstLine="480"/>
        <w:rPr>
          <w:shd w:val="clear" w:color="auto" w:fill="FFFFFF"/>
        </w:rPr>
      </w:pPr>
      <w:r w:rsidRPr="004D5AEC">
        <w:rPr>
          <w:iCs/>
        </w:rPr>
        <w:t xml:space="preserve">This work was supported by the Research Grants Council of the Hong Kong Government (Grants 17210219 and T21-711/16R), by the Natural Science Foundation (Projects 51978369 and 52270128), and by the Municipal Science and Technology Innovation Commission of </w:t>
      </w:r>
      <w:r w:rsidRPr="004D5AEC">
        <w:rPr>
          <w:rFonts w:hint="eastAsia"/>
          <w:iCs/>
        </w:rPr>
        <w:t>Shenzhen Government (Projects JCYJ20180508152004176, KCXFZ202002011008448</w:t>
      </w:r>
      <w:r>
        <w:rPr>
          <w:rFonts w:hint="eastAsia"/>
          <w:iCs/>
        </w:rPr>
        <w:t>,</w:t>
      </w:r>
      <w:r>
        <w:rPr>
          <w:iCs/>
        </w:rPr>
        <w:t xml:space="preserve"> </w:t>
      </w:r>
      <w:r w:rsidRPr="004D5AEC">
        <w:rPr>
          <w:rFonts w:hint="eastAsia"/>
          <w:iCs/>
        </w:rPr>
        <w:t>and RCBS20200714114942215), China.</w:t>
      </w:r>
    </w:p>
    <w:p w14:paraId="1252EF93" w14:textId="77777777" w:rsidR="00A8090B" w:rsidRPr="00FD783B" w:rsidRDefault="00A8090B" w:rsidP="00A8090B">
      <w:pPr>
        <w:snapToGrid w:val="0"/>
        <w:spacing w:line="480" w:lineRule="auto"/>
      </w:pPr>
    </w:p>
    <w:p w14:paraId="12BD9706" w14:textId="77777777" w:rsidR="00A8090B" w:rsidRPr="00FD783B" w:rsidRDefault="00A8090B" w:rsidP="00A8090B">
      <w:pPr>
        <w:pStyle w:val="1"/>
        <w:snapToGrid w:val="0"/>
      </w:pPr>
      <w:r w:rsidRPr="00FD783B">
        <w:t>Supplementary Information</w:t>
      </w:r>
    </w:p>
    <w:p w14:paraId="0E5772A3" w14:textId="77777777" w:rsidR="00A8090B" w:rsidRPr="00FD783B" w:rsidRDefault="00A8090B" w:rsidP="00A8090B">
      <w:pPr>
        <w:snapToGrid w:val="0"/>
        <w:spacing w:line="480" w:lineRule="auto"/>
        <w:rPr>
          <w:shd w:val="clear" w:color="auto" w:fill="FFFFFF"/>
        </w:rPr>
      </w:pPr>
      <w:r w:rsidRPr="00FD783B">
        <w:rPr>
          <w:shd w:val="clear" w:color="auto" w:fill="FFFFFF"/>
        </w:rPr>
        <w:t>Supplementary information includes:</w:t>
      </w:r>
    </w:p>
    <w:p w14:paraId="4BD58632" w14:textId="3FCEE394" w:rsidR="00A8090B" w:rsidRPr="00FD783B" w:rsidRDefault="00A8090B" w:rsidP="00A8090B">
      <w:pPr>
        <w:snapToGrid w:val="0"/>
        <w:spacing w:line="480" w:lineRule="auto"/>
      </w:pPr>
      <w:r w:rsidRPr="00FD783B">
        <w:t xml:space="preserve">Number of pages (including the cover page): </w:t>
      </w:r>
      <w:r w:rsidR="00077E45">
        <w:t>6</w:t>
      </w:r>
    </w:p>
    <w:p w14:paraId="598A01BB" w14:textId="77777777" w:rsidR="00A8090B" w:rsidRPr="00FD783B" w:rsidRDefault="00A8090B" w:rsidP="00A8090B">
      <w:pPr>
        <w:snapToGrid w:val="0"/>
        <w:spacing w:line="480" w:lineRule="auto"/>
      </w:pPr>
      <w:r w:rsidRPr="00FD783B">
        <w:t>Number of tables: 2</w:t>
      </w:r>
    </w:p>
    <w:p w14:paraId="1E714D69" w14:textId="36653077" w:rsidR="00A8090B" w:rsidRPr="00FD783B" w:rsidRDefault="00A8090B" w:rsidP="00A8090B">
      <w:pPr>
        <w:snapToGrid w:val="0"/>
        <w:spacing w:line="480" w:lineRule="auto"/>
      </w:pPr>
      <w:r w:rsidRPr="00FD783B">
        <w:t xml:space="preserve">Number of figures: </w:t>
      </w:r>
      <w:r w:rsidR="00F9125C">
        <w:t>3</w:t>
      </w:r>
    </w:p>
    <w:p w14:paraId="7BB36CE3" w14:textId="4DFADF5A" w:rsidR="00A8090B" w:rsidRPr="00FD783B" w:rsidRDefault="00A8090B" w:rsidP="006B4FEF">
      <w:pPr>
        <w:snapToGrid w:val="0"/>
        <w:spacing w:line="480" w:lineRule="auto"/>
        <w:rPr>
          <w:szCs w:val="28"/>
        </w:rPr>
      </w:pPr>
      <w:r w:rsidRPr="00FD783B">
        <w:rPr>
          <w:b/>
          <w:bCs/>
        </w:rPr>
        <w:t>Fig. S1.</w:t>
      </w:r>
      <w:r w:rsidRPr="00FD783B">
        <w:rPr>
          <w:szCs w:val="28"/>
        </w:rPr>
        <w:t xml:space="preserve"> The properties of raw sludge (RS) and thermally hydrolyzed sludge (THS): (a) dewatering ability </w:t>
      </w:r>
      <w:r w:rsidR="00294357" w:rsidRPr="00FD783B">
        <w:rPr>
          <w:szCs w:val="28"/>
        </w:rPr>
        <w:t>in terms of</w:t>
      </w:r>
      <w:r w:rsidRPr="00FD783B">
        <w:rPr>
          <w:szCs w:val="28"/>
        </w:rPr>
        <w:t xml:space="preserve"> SVI and SRF</w:t>
      </w:r>
      <w:r w:rsidR="00294357" w:rsidRPr="00FD783B">
        <w:rPr>
          <w:szCs w:val="28"/>
        </w:rPr>
        <w:t>,</w:t>
      </w:r>
      <w:r w:rsidRPr="00FD783B">
        <w:rPr>
          <w:szCs w:val="28"/>
        </w:rPr>
        <w:t xml:space="preserve"> and (b) biodegradability expressed as the production of SCFAs via acidogenic fermentation when taking </w:t>
      </w:r>
      <w:r w:rsidR="00294357" w:rsidRPr="00FD783B">
        <w:rPr>
          <w:szCs w:val="28"/>
        </w:rPr>
        <w:t xml:space="preserve">the </w:t>
      </w:r>
      <w:r w:rsidRPr="00FD783B">
        <w:rPr>
          <w:szCs w:val="28"/>
        </w:rPr>
        <w:t xml:space="preserve">sludge mixture and sludge liquor as the </w:t>
      </w:r>
      <w:r w:rsidR="00294357" w:rsidRPr="00FD783B">
        <w:rPr>
          <w:szCs w:val="28"/>
        </w:rPr>
        <w:t xml:space="preserve">feed </w:t>
      </w:r>
      <w:r w:rsidRPr="00FD783B">
        <w:rPr>
          <w:szCs w:val="28"/>
        </w:rPr>
        <w:t xml:space="preserve">substrates, respectively. </w:t>
      </w:r>
      <w:r w:rsidRPr="00FD783B">
        <w:rPr>
          <w:szCs w:val="28"/>
        </w:rPr>
        <w:tab/>
      </w:r>
      <w:r w:rsidRPr="00FD783B">
        <w:rPr>
          <w:szCs w:val="28"/>
        </w:rPr>
        <w:tab/>
      </w:r>
      <w:r w:rsidRPr="00FD783B">
        <w:rPr>
          <w:szCs w:val="28"/>
        </w:rPr>
        <w:tab/>
      </w:r>
      <w:r w:rsidRPr="00FD783B">
        <w:rPr>
          <w:szCs w:val="28"/>
        </w:rPr>
        <w:tab/>
      </w:r>
      <w:r w:rsidRPr="00FD783B">
        <w:rPr>
          <w:szCs w:val="28"/>
        </w:rPr>
        <w:tab/>
      </w:r>
      <w:r w:rsidRPr="00FD783B">
        <w:rPr>
          <w:szCs w:val="28"/>
        </w:rPr>
        <w:tab/>
        <w:t xml:space="preserve">    </w:t>
      </w:r>
      <w:r w:rsidRPr="00FD783B">
        <w:t>(Page S2)</w:t>
      </w:r>
    </w:p>
    <w:p w14:paraId="2D654610" w14:textId="22DADD25" w:rsidR="00A8090B" w:rsidRPr="00FD783B" w:rsidRDefault="00A8090B" w:rsidP="006B4FEF">
      <w:pPr>
        <w:snapToGrid w:val="0"/>
        <w:spacing w:line="480" w:lineRule="auto"/>
      </w:pPr>
      <w:r w:rsidRPr="00FD783B">
        <w:rPr>
          <w:b/>
          <w:bCs/>
          <w:szCs w:val="28"/>
        </w:rPr>
        <w:t>Table S1.</w:t>
      </w:r>
      <w:r w:rsidRPr="00FD783B">
        <w:rPr>
          <w:szCs w:val="28"/>
        </w:rPr>
        <w:t xml:space="preserve"> </w:t>
      </w:r>
      <w:r w:rsidR="00294357" w:rsidRPr="00FD783B">
        <w:rPr>
          <w:szCs w:val="28"/>
        </w:rPr>
        <w:t>Analysis of h</w:t>
      </w:r>
      <w:r w:rsidRPr="00FD783B">
        <w:rPr>
          <w:szCs w:val="28"/>
        </w:rPr>
        <w:t>eavy metals (mg/kg) in the powder materials.</w:t>
      </w:r>
      <w:r w:rsidRPr="00FD783B">
        <w:rPr>
          <w:szCs w:val="28"/>
        </w:rPr>
        <w:tab/>
      </w:r>
      <w:r w:rsidRPr="00FD783B">
        <w:rPr>
          <w:szCs w:val="28"/>
        </w:rPr>
        <w:tab/>
        <w:t xml:space="preserve">    </w:t>
      </w:r>
      <w:r w:rsidRPr="00FD783B">
        <w:t>(Page S3)</w:t>
      </w:r>
    </w:p>
    <w:p w14:paraId="213DA88F" w14:textId="2802C5C9" w:rsidR="00A8090B" w:rsidRDefault="00A8090B" w:rsidP="006B4FEF">
      <w:pPr>
        <w:snapToGrid w:val="0"/>
        <w:spacing w:line="480" w:lineRule="auto"/>
      </w:pPr>
      <w:r w:rsidRPr="00FD783B">
        <w:rPr>
          <w:b/>
          <w:bCs/>
        </w:rPr>
        <w:t xml:space="preserve">Table S2. </w:t>
      </w:r>
      <w:r w:rsidR="00294357" w:rsidRPr="00FD783B">
        <w:t>L</w:t>
      </w:r>
      <w:r w:rsidRPr="00FD783B">
        <w:t xml:space="preserve">eaching and diffusion of nontoxic cations from </w:t>
      </w:r>
      <w:r w:rsidR="00294357" w:rsidRPr="00FD783B">
        <w:t xml:space="preserve">the </w:t>
      </w:r>
      <w:r w:rsidRPr="00FD783B">
        <w:t>sintered tiles.</w:t>
      </w:r>
      <w:r w:rsidRPr="00FD783B">
        <w:tab/>
      </w:r>
      <w:bookmarkStart w:id="126" w:name="OLE_LINK76"/>
      <w:r w:rsidR="0057792B">
        <w:t xml:space="preserve"> </w:t>
      </w:r>
      <w:r w:rsidRPr="00FD783B">
        <w:t xml:space="preserve">   (Page S4)</w:t>
      </w:r>
      <w:bookmarkEnd w:id="126"/>
    </w:p>
    <w:p w14:paraId="00EC6231" w14:textId="642412FB" w:rsidR="0057792B" w:rsidRPr="00FD783B" w:rsidRDefault="0057792B" w:rsidP="006B4FEF">
      <w:pPr>
        <w:snapToGrid w:val="0"/>
        <w:spacing w:line="480" w:lineRule="auto"/>
      </w:pPr>
      <w:r w:rsidRPr="00D804F9">
        <w:rPr>
          <w:b/>
          <w:bCs/>
        </w:rPr>
        <w:t>Fig. S2.</w:t>
      </w:r>
      <w:r w:rsidRPr="00D804F9">
        <w:t xml:space="preserve"> </w:t>
      </w:r>
      <w:r w:rsidRPr="00592788">
        <w:t>Temperature program for sintering of ceramic tiles</w:t>
      </w:r>
      <w:r w:rsidRPr="00D804F9">
        <w:t>.</w:t>
      </w:r>
      <w:r w:rsidRPr="00D804F9">
        <w:tab/>
      </w:r>
      <w:r w:rsidRPr="00D804F9">
        <w:tab/>
      </w:r>
      <w:r w:rsidRPr="00D804F9">
        <w:tab/>
      </w:r>
      <w:r w:rsidRPr="00D804F9">
        <w:tab/>
        <w:t xml:space="preserve">  </w:t>
      </w:r>
      <w:r>
        <w:t xml:space="preserve"> </w:t>
      </w:r>
      <w:r w:rsidRPr="00D804F9">
        <w:t xml:space="preserve"> (Page S5)</w:t>
      </w:r>
    </w:p>
    <w:p w14:paraId="55783A22" w14:textId="2E607FBE" w:rsidR="00A8090B" w:rsidRDefault="00A8090B" w:rsidP="006B4FEF">
      <w:pPr>
        <w:snapToGrid w:val="0"/>
        <w:spacing w:line="480" w:lineRule="auto"/>
      </w:pPr>
      <w:r w:rsidRPr="00FD783B">
        <w:rPr>
          <w:b/>
          <w:bCs/>
        </w:rPr>
        <w:t xml:space="preserve">Fig. </w:t>
      </w:r>
      <w:r w:rsidR="0057792B" w:rsidRPr="00FD783B">
        <w:rPr>
          <w:b/>
          <w:bCs/>
        </w:rPr>
        <w:t>S</w:t>
      </w:r>
      <w:r w:rsidR="0057792B">
        <w:rPr>
          <w:b/>
          <w:bCs/>
        </w:rPr>
        <w:t>3</w:t>
      </w:r>
      <w:r w:rsidRPr="00FD783B">
        <w:rPr>
          <w:b/>
          <w:bCs/>
        </w:rPr>
        <w:t>.</w:t>
      </w:r>
      <w:r w:rsidRPr="00FD783B">
        <w:t xml:space="preserve"> SEM-backscattered electron images of</w:t>
      </w:r>
      <w:r w:rsidR="00294357" w:rsidRPr="00FD783B">
        <w:t xml:space="preserve"> the </w:t>
      </w:r>
      <w:r w:rsidRPr="00FD783B">
        <w:t xml:space="preserve">sintered ceramic tiles under </w:t>
      </w:r>
      <w:r w:rsidR="00294357" w:rsidRPr="00FD783B">
        <w:t xml:space="preserve">the </w:t>
      </w:r>
      <w:r w:rsidRPr="00FD783B">
        <w:t>different sintering temperature</w:t>
      </w:r>
      <w:r w:rsidR="00294357" w:rsidRPr="00FD783B">
        <w:t>s</w:t>
      </w:r>
      <w:r w:rsidRPr="00FD783B">
        <w:t xml:space="preserve"> (T‒550 to T‒1200).</w:t>
      </w:r>
      <w:r w:rsidRPr="00FD783B">
        <w:rPr>
          <w:rFonts w:ascii="Calibri" w:hAnsi="Calibri" w:cs="Calibri"/>
        </w:rPr>
        <w:tab/>
      </w:r>
      <w:r w:rsidRPr="00FD783B">
        <w:rPr>
          <w:rFonts w:ascii="Calibri" w:hAnsi="Calibri" w:cs="Calibri"/>
        </w:rPr>
        <w:tab/>
      </w:r>
      <w:r w:rsidRPr="00FD783B">
        <w:rPr>
          <w:rFonts w:ascii="Calibri" w:hAnsi="Calibri" w:cs="Calibri"/>
        </w:rPr>
        <w:tab/>
      </w:r>
      <w:r w:rsidRPr="00FD783B">
        <w:rPr>
          <w:rFonts w:ascii="Calibri" w:hAnsi="Calibri" w:cs="Calibri"/>
        </w:rPr>
        <w:tab/>
      </w:r>
      <w:r w:rsidRPr="00FD783B">
        <w:rPr>
          <w:rFonts w:ascii="Calibri" w:hAnsi="Calibri" w:cs="Calibri"/>
        </w:rPr>
        <w:tab/>
      </w:r>
      <w:r w:rsidRPr="00FD783B">
        <w:tab/>
      </w:r>
      <w:r w:rsidR="0057792B">
        <w:t xml:space="preserve"> </w:t>
      </w:r>
      <w:r w:rsidRPr="00FD783B">
        <w:t xml:space="preserve">   (Page S5)</w:t>
      </w:r>
    </w:p>
    <w:p w14:paraId="29BA0453" w14:textId="77777777" w:rsidR="0057792B" w:rsidRPr="00FD783B" w:rsidRDefault="0057792B" w:rsidP="006B4FEF">
      <w:pPr>
        <w:snapToGrid w:val="0"/>
        <w:spacing w:line="480" w:lineRule="auto"/>
      </w:pPr>
    </w:p>
    <w:p w14:paraId="520ADCC5" w14:textId="77777777" w:rsidR="0003077F" w:rsidRPr="00FD783B" w:rsidRDefault="0003077F" w:rsidP="00A8090B">
      <w:pPr>
        <w:snapToGrid w:val="0"/>
        <w:spacing w:line="480" w:lineRule="auto"/>
      </w:pPr>
    </w:p>
    <w:p w14:paraId="48D3CED4" w14:textId="5103A746" w:rsidR="000D7881" w:rsidRPr="00FD783B" w:rsidRDefault="000D7881" w:rsidP="00623B10">
      <w:pPr>
        <w:pStyle w:val="1"/>
        <w:snapToGrid w:val="0"/>
        <w:rPr>
          <w:b w:val="0"/>
          <w:szCs w:val="28"/>
        </w:rPr>
      </w:pPr>
      <w:r w:rsidRPr="00FD783B">
        <w:rPr>
          <w:szCs w:val="28"/>
        </w:rPr>
        <w:lastRenderedPageBreak/>
        <w:t xml:space="preserve">References </w:t>
      </w:r>
    </w:p>
    <w:p w14:paraId="00B28558" w14:textId="38B72FB9" w:rsidR="000D7881" w:rsidRPr="00FD783B" w:rsidRDefault="000D7881" w:rsidP="00623B10">
      <w:pPr>
        <w:pStyle w:val="EndNoteBibliography"/>
        <w:snapToGrid w:val="0"/>
        <w:spacing w:line="480" w:lineRule="auto"/>
        <w:ind w:left="450" w:hanging="450"/>
      </w:pPr>
      <w:bookmarkStart w:id="127" w:name="OLE_LINK144"/>
      <w:bookmarkStart w:id="128" w:name="OLE_LINK145"/>
      <w:r w:rsidRPr="00FD783B">
        <w:t>Acchar, W., Dultra, E.J.V., Segadaes, A.M., 2013. Untreated coffee husk ashes used as flux in ceramic tiles. Appl. Clay Sci. 75-76, 141-147</w:t>
      </w:r>
      <w:r w:rsidR="007834D5" w:rsidRPr="00FD783B">
        <w:t>. https://doi.org/10.1016/j.clay.2013.03.009.</w:t>
      </w:r>
    </w:p>
    <w:p w14:paraId="5BB22AC7" w14:textId="6E760203" w:rsidR="000D7881" w:rsidRPr="00FD783B" w:rsidRDefault="000D7881" w:rsidP="00623B10">
      <w:pPr>
        <w:pStyle w:val="EndNoteBibliography"/>
        <w:snapToGrid w:val="0"/>
        <w:spacing w:line="480" w:lineRule="auto"/>
        <w:ind w:left="450" w:hanging="450"/>
      </w:pPr>
      <w:r w:rsidRPr="00FD783B">
        <w:t>Ahmad, T., Ahmad, K., Alam, M., 2016. Sustainable management of water treatment sludge through 3'R' concept. J. Clean. Prod. 124, 1-13.</w:t>
      </w:r>
      <w:r w:rsidR="00C80BDF" w:rsidRPr="00FD783B">
        <w:t xml:space="preserve"> </w:t>
      </w:r>
      <w:r w:rsidR="007834D5" w:rsidRPr="00FD783B">
        <w:t>https://doi.org/10.1016/j.jclepro.2016.02.073.</w:t>
      </w:r>
    </w:p>
    <w:p w14:paraId="5D1FFBC5" w14:textId="3B157F08" w:rsidR="000D7881" w:rsidRPr="00FD783B" w:rsidRDefault="000D7881" w:rsidP="00623B10">
      <w:pPr>
        <w:pStyle w:val="EndNoteBibliography"/>
        <w:snapToGrid w:val="0"/>
        <w:spacing w:line="480" w:lineRule="auto"/>
        <w:ind w:left="450" w:hanging="450"/>
      </w:pPr>
      <w:r w:rsidRPr="00FD783B">
        <w:t>Alamudy, H.A., Cho, K., 2018. Selective adsorption of cesium from an aqueous solution by a montmorillonite-prussian blue hybrid. Chem. Eng. J. 349, 595-602.</w:t>
      </w:r>
      <w:r w:rsidR="00C80BDF" w:rsidRPr="00FD783B">
        <w:t xml:space="preserve"> </w:t>
      </w:r>
      <w:r w:rsidR="007834D5" w:rsidRPr="00FD783B">
        <w:t>https://doi.org/10.1016/j.cej.2018.05.137.</w:t>
      </w:r>
    </w:p>
    <w:p w14:paraId="2F0A93F4" w14:textId="32C120A9" w:rsidR="000D7881" w:rsidRPr="00FD783B" w:rsidRDefault="000D7881" w:rsidP="00623B10">
      <w:pPr>
        <w:pStyle w:val="EndNoteBibliography"/>
        <w:snapToGrid w:val="0"/>
        <w:spacing w:line="480" w:lineRule="auto"/>
        <w:ind w:left="450" w:hanging="450"/>
      </w:pPr>
      <w:r w:rsidRPr="00FD783B">
        <w:t xml:space="preserve">Barber, W., 2016. Thermal hydrolysis for sewage treatment: </w:t>
      </w:r>
      <w:r w:rsidR="007F2A2E" w:rsidRPr="00FD783B">
        <w:t>A</w:t>
      </w:r>
      <w:r w:rsidRPr="00FD783B">
        <w:t xml:space="preserve"> critical review. Water Res. 104, 53-71.</w:t>
      </w:r>
      <w:r w:rsidR="00C80BDF" w:rsidRPr="00FD783B">
        <w:t xml:space="preserve"> </w:t>
      </w:r>
      <w:r w:rsidR="007834D5" w:rsidRPr="00FD783B">
        <w:t>https://doi.org/10.1016/j.watres.2016.07.069.</w:t>
      </w:r>
    </w:p>
    <w:p w14:paraId="43DAB3E2" w14:textId="1502AE13" w:rsidR="000D7881" w:rsidRPr="00FD783B" w:rsidRDefault="000D7881" w:rsidP="00623B10">
      <w:pPr>
        <w:pStyle w:val="EndNoteBibliography"/>
        <w:snapToGrid w:val="0"/>
        <w:spacing w:line="480" w:lineRule="auto"/>
        <w:ind w:left="450" w:hanging="450"/>
      </w:pPr>
      <w:r w:rsidRPr="00FD783B">
        <w:t>Benlalla, A., Elmoussaouiti, M., Dahhou, M., Assafi, M., 2015. Utilization of water treatment plant sludge in structural ceramics bricks. Appl. Clay Sci. 118, 171-177.</w:t>
      </w:r>
      <w:r w:rsidR="00C80BDF" w:rsidRPr="00FD783B">
        <w:t xml:space="preserve"> </w:t>
      </w:r>
      <w:r w:rsidR="007834D5" w:rsidRPr="00FD783B">
        <w:t>https://doi.org/10.1016/j.clay.2015.09.012.</w:t>
      </w:r>
    </w:p>
    <w:p w14:paraId="3833C071" w14:textId="18274129" w:rsidR="000D7881" w:rsidRPr="00FD783B" w:rsidRDefault="000D7881" w:rsidP="00623B10">
      <w:pPr>
        <w:pStyle w:val="EndNoteBibliography"/>
        <w:snapToGrid w:val="0"/>
        <w:spacing w:line="480" w:lineRule="auto"/>
        <w:ind w:left="450" w:hanging="450"/>
      </w:pPr>
      <w:r w:rsidRPr="00FD783B">
        <w:t>Chang, Z.Y., Long, G.C., Zhou, J.L., Ma, C., 2020. Valorization of sewage sludge in the fabrication of construction and building materials: A review. Resour. Conserv. Recycl. 154, 104606.</w:t>
      </w:r>
      <w:r w:rsidR="00C80BDF" w:rsidRPr="00FD783B">
        <w:t xml:space="preserve"> </w:t>
      </w:r>
      <w:r w:rsidR="007834D5" w:rsidRPr="00FD783B">
        <w:t xml:space="preserve">https://doi.org/10.1016/j.resconrec.2019.104606. </w:t>
      </w:r>
    </w:p>
    <w:p w14:paraId="346A72A3" w14:textId="0A43AAE8" w:rsidR="000D7881" w:rsidRPr="00FD783B" w:rsidRDefault="000D7881" w:rsidP="00623B10">
      <w:pPr>
        <w:pStyle w:val="EndNoteBibliography"/>
        <w:snapToGrid w:val="0"/>
        <w:spacing w:line="480" w:lineRule="auto"/>
        <w:ind w:left="450" w:hanging="450"/>
      </w:pPr>
      <w:r w:rsidRPr="00FD783B">
        <w:t>Chen, Y.L., Zhang, Y.M., Chen, T.J., Liu, T., Huang, J., 2013. Preparation and characterization of red porcelain tiles with hematite tailings. Constr Build Mater. 38, 1083-1088.</w:t>
      </w:r>
      <w:r w:rsidR="004631EE" w:rsidRPr="00FD783B">
        <w:t xml:space="preserve"> https://doi.org/10.1016/j.conbuildmat.2012.06.056.</w:t>
      </w:r>
    </w:p>
    <w:p w14:paraId="5C176CF0" w14:textId="43B1EA72" w:rsidR="00F40E24" w:rsidRPr="00FD783B" w:rsidRDefault="00F40E24" w:rsidP="00F40E24">
      <w:pPr>
        <w:pStyle w:val="EndNoteBibliography"/>
        <w:snapToGrid w:val="0"/>
        <w:spacing w:line="480" w:lineRule="auto"/>
        <w:ind w:left="450" w:hanging="450"/>
      </w:pPr>
      <w:bookmarkStart w:id="129" w:name="OLE_LINK64"/>
      <w:r w:rsidRPr="00FD783B">
        <w:t>Cusidó, J.A., Cremades, L.V., 2012. Environmental effects of using clay bricks produced with sewage sludge: Leachability and toxicity studies. Waste Manage. 32, 1202-1208.</w:t>
      </w:r>
      <w:r w:rsidR="004631EE" w:rsidRPr="00FD783B">
        <w:t xml:space="preserve"> https://doi.org/10.1016/j.wasman.2011.12.024.</w:t>
      </w:r>
    </w:p>
    <w:p w14:paraId="72BCAAE8" w14:textId="3C739778" w:rsidR="000D7881" w:rsidRPr="00FD783B" w:rsidRDefault="000D7881" w:rsidP="00623B10">
      <w:pPr>
        <w:pStyle w:val="EndNoteBibliography"/>
        <w:snapToGrid w:val="0"/>
        <w:spacing w:line="480" w:lineRule="auto"/>
        <w:ind w:left="450" w:hanging="450"/>
      </w:pPr>
      <w:bookmarkStart w:id="130" w:name="OLE_LINK54"/>
      <w:bookmarkEnd w:id="129"/>
      <w:r w:rsidRPr="00FD783B">
        <w:t>Cusidó, J.</w:t>
      </w:r>
      <w:r w:rsidR="00390181" w:rsidRPr="00FD783B">
        <w:t>A</w:t>
      </w:r>
      <w:r w:rsidR="000D0897" w:rsidRPr="00FD783B">
        <w:t>.</w:t>
      </w:r>
      <w:r w:rsidRPr="00FD783B">
        <w:t>, Cremades, L.</w:t>
      </w:r>
      <w:r w:rsidR="000D0897" w:rsidRPr="00FD783B">
        <w:t>V.</w:t>
      </w:r>
      <w:r w:rsidRPr="00FD783B">
        <w:t>, Soriano, C.</w:t>
      </w:r>
      <w:r w:rsidR="000D0897" w:rsidRPr="00FD783B">
        <w:t>S.</w:t>
      </w:r>
      <w:r w:rsidRPr="00FD783B">
        <w:t>, Devant, M., 2015. Incorporation of paper sludge in clay brick formulation: Ten years of industrial experience. Appl. Clay Sci. 108, 191-</w:t>
      </w:r>
      <w:r w:rsidRPr="00FD783B">
        <w:lastRenderedPageBreak/>
        <w:t>198.</w:t>
      </w:r>
      <w:r w:rsidR="004631EE" w:rsidRPr="00FD783B">
        <w:t xml:space="preserve"> https://doi.org/10.1016/j.clay.2015.02.027.</w:t>
      </w:r>
    </w:p>
    <w:bookmarkEnd w:id="130"/>
    <w:p w14:paraId="4AF5825D" w14:textId="384C7632" w:rsidR="000D7881" w:rsidRPr="00FD783B" w:rsidRDefault="000D7881" w:rsidP="00623B10">
      <w:pPr>
        <w:pStyle w:val="EndNoteBibliography"/>
        <w:snapToGrid w:val="0"/>
        <w:spacing w:line="480" w:lineRule="auto"/>
        <w:ind w:left="450" w:hanging="450"/>
      </w:pPr>
      <w:r w:rsidRPr="00FD783B">
        <w:t>Ding, A., Zhang, R., Ngo, H.H., He, X., Ma, J., Nan, J., Li, G., 2021. Life cycle assessment of sewage sludge treatment and disposal based on nutrient and energy recovery: A review. Sci. Total Environ. 769, 144451.</w:t>
      </w:r>
      <w:r w:rsidR="004631EE" w:rsidRPr="00FD783B">
        <w:t xml:space="preserve"> https://doi.org/10.1016/j.scitotenv.2020.144451.</w:t>
      </w:r>
    </w:p>
    <w:p w14:paraId="4796FBD5" w14:textId="728C9F38" w:rsidR="000D7881" w:rsidRDefault="000D7881" w:rsidP="00226C7D">
      <w:pPr>
        <w:pStyle w:val="EndNoteBibliography"/>
        <w:snapToGrid w:val="0"/>
        <w:spacing w:line="480" w:lineRule="auto"/>
        <w:ind w:left="450" w:hanging="450"/>
      </w:pPr>
      <w:r w:rsidRPr="00FD783B">
        <w:t xml:space="preserve">Eaton, A.D., Clesceri, L.S., Rice, E.W., Greenberg, A.E., Franson, M.A.H., 2005. </w:t>
      </w:r>
      <w:bookmarkStart w:id="131" w:name="OLE_LINK78"/>
      <w:r w:rsidRPr="00FD783B">
        <w:t xml:space="preserve">Standard </w:t>
      </w:r>
      <w:r w:rsidR="00167683" w:rsidRPr="00FD783B">
        <w:t>M</w:t>
      </w:r>
      <w:r w:rsidRPr="00FD783B">
        <w:t xml:space="preserve">ethods for the </w:t>
      </w:r>
      <w:r w:rsidR="00167683" w:rsidRPr="00FD783B">
        <w:t>E</w:t>
      </w:r>
      <w:r w:rsidRPr="00FD783B">
        <w:t xml:space="preserve">xamination of </w:t>
      </w:r>
      <w:r w:rsidR="00167683" w:rsidRPr="00FD783B">
        <w:t>W</w:t>
      </w:r>
      <w:r w:rsidRPr="00FD783B">
        <w:t xml:space="preserve">ater and </w:t>
      </w:r>
      <w:r w:rsidR="00167683" w:rsidRPr="00FD783B">
        <w:t>W</w:t>
      </w:r>
      <w:r w:rsidRPr="00FD783B">
        <w:t>astewater</w:t>
      </w:r>
      <w:bookmarkEnd w:id="131"/>
      <w:r w:rsidRPr="00FD783B">
        <w:t>. 21</w:t>
      </w:r>
      <w:r w:rsidRPr="00FD783B">
        <w:rPr>
          <w:vertAlign w:val="superscript"/>
        </w:rPr>
        <w:t>st</w:t>
      </w:r>
      <w:r w:rsidR="00226C7D" w:rsidRPr="00FD783B">
        <w:t xml:space="preserve"> </w:t>
      </w:r>
      <w:r w:rsidRPr="00FD783B">
        <w:t>ed. American Public Health Association, American Water Works Association, Water Environment Federation, Washington, DC, USA.</w:t>
      </w:r>
    </w:p>
    <w:p w14:paraId="17C520A8" w14:textId="49A85FD3" w:rsidR="001A7626" w:rsidRPr="00FD783B" w:rsidRDefault="001A7626" w:rsidP="00226C7D">
      <w:pPr>
        <w:pStyle w:val="EndNoteBibliography"/>
        <w:snapToGrid w:val="0"/>
        <w:spacing w:line="480" w:lineRule="auto"/>
        <w:ind w:left="450" w:hanging="450"/>
      </w:pPr>
      <w:r w:rsidRPr="001A7626">
        <w:t>Eliche-Quesada, D., Martínez-García, C., Martínez-Cartas, M., Cotes-Palomino, M., Pérez-Villarejo, L., Cruz-Pérez, N., Corpas-Iglesias, F., 2011. The use of different forms of waste in the manufacture of ceramic bricks. Appl. Clay Sci. 52, 270-276. https://doi.org/10.1016/j.clay.2011.03.003.</w:t>
      </w:r>
    </w:p>
    <w:p w14:paraId="0647F040" w14:textId="4B0BA9A7" w:rsidR="000D7881" w:rsidRPr="00FD783B" w:rsidRDefault="000D7881" w:rsidP="00623B10">
      <w:pPr>
        <w:pStyle w:val="EndNoteBibliography"/>
        <w:snapToGrid w:val="0"/>
        <w:spacing w:line="480" w:lineRule="auto"/>
        <w:ind w:left="450" w:hanging="450"/>
      </w:pPr>
      <w:r w:rsidRPr="00FD783B">
        <w:t xml:space="preserve">EPA, 1991. </w:t>
      </w:r>
      <w:bookmarkStart w:id="132" w:name="OLE_LINK79"/>
      <w:r w:rsidRPr="00FD783B">
        <w:t xml:space="preserve">Identification and </w:t>
      </w:r>
      <w:r w:rsidR="00226C7D" w:rsidRPr="00FD783B">
        <w:t>L</w:t>
      </w:r>
      <w:r w:rsidRPr="00FD783B">
        <w:t xml:space="preserve">isting of </w:t>
      </w:r>
      <w:r w:rsidR="00226C7D" w:rsidRPr="00FD783B">
        <w:t>H</w:t>
      </w:r>
      <w:r w:rsidRPr="00FD783B">
        <w:t xml:space="preserve">azardous </w:t>
      </w:r>
      <w:r w:rsidR="00226C7D" w:rsidRPr="00FD783B">
        <w:t>W</w:t>
      </w:r>
      <w:r w:rsidRPr="00FD783B">
        <w:t>aste</w:t>
      </w:r>
      <w:bookmarkEnd w:id="132"/>
      <w:r w:rsidRPr="00FD783B">
        <w:t>. Code of Federal Regulations 40. Washington, DC, USA.</w:t>
      </w:r>
    </w:p>
    <w:p w14:paraId="10D880E0" w14:textId="77777777" w:rsidR="000D7881" w:rsidRPr="00FD783B" w:rsidRDefault="000D7881" w:rsidP="00623B10">
      <w:pPr>
        <w:pStyle w:val="EndNoteBibliography"/>
        <w:snapToGrid w:val="0"/>
        <w:spacing w:line="480" w:lineRule="auto"/>
        <w:ind w:left="450" w:hanging="450"/>
      </w:pPr>
      <w:r w:rsidRPr="00FD783B">
        <w:t xml:space="preserve">EPA, 1992. </w:t>
      </w:r>
      <w:bookmarkStart w:id="133" w:name="OLE_LINK80"/>
      <w:r w:rsidRPr="00FD783B">
        <w:t>Test Method 1311: Toxicity Characteristic Leaching Procedure. Washington, DC, USA.</w:t>
      </w:r>
    </w:p>
    <w:bookmarkEnd w:id="133"/>
    <w:p w14:paraId="5CD4B8A3" w14:textId="56D341FE" w:rsidR="000D7881" w:rsidRPr="00FD783B" w:rsidRDefault="000D7881" w:rsidP="00623B10">
      <w:pPr>
        <w:pStyle w:val="EndNoteBibliography"/>
        <w:snapToGrid w:val="0"/>
        <w:spacing w:line="480" w:lineRule="auto"/>
        <w:ind w:left="450" w:hanging="450"/>
      </w:pPr>
      <w:r w:rsidRPr="00FD783B">
        <w:t>Fernandez, J.M., Plaza, C., Polo, A., Plante, A.F., 2012. Use of thermal analysis techniques (TG-DSC) for the characterization of diverse organic municipal waste streams to predict biological stability prior to land application. Waste Manag. 32, 158-164.</w:t>
      </w:r>
      <w:r w:rsidR="004631EE" w:rsidRPr="00FD783B">
        <w:t xml:space="preserve"> https://doi.org/10.1016/j.wasman.2011.08.011.</w:t>
      </w:r>
    </w:p>
    <w:p w14:paraId="67BC25F2" w14:textId="1424D163" w:rsidR="000D7881" w:rsidRPr="00FD783B" w:rsidRDefault="000D7881" w:rsidP="00623B10">
      <w:pPr>
        <w:pStyle w:val="EndNoteBibliography"/>
        <w:snapToGrid w:val="0"/>
        <w:spacing w:line="480" w:lineRule="auto"/>
        <w:ind w:left="450" w:hanging="450"/>
      </w:pPr>
      <w:r w:rsidRPr="00FD783B">
        <w:t xml:space="preserve">GB 16889, 2008. Standard for </w:t>
      </w:r>
      <w:r w:rsidR="00226C7D" w:rsidRPr="00FD783B">
        <w:t>P</w:t>
      </w:r>
      <w:r w:rsidRPr="00FD783B">
        <w:t xml:space="preserve">ollution </w:t>
      </w:r>
      <w:r w:rsidR="00226C7D" w:rsidRPr="00FD783B">
        <w:t>C</w:t>
      </w:r>
      <w:r w:rsidRPr="00FD783B">
        <w:t xml:space="preserve">ontrol on the </w:t>
      </w:r>
      <w:r w:rsidR="00226C7D" w:rsidRPr="00FD783B">
        <w:t>L</w:t>
      </w:r>
      <w:r w:rsidRPr="00FD783B">
        <w:t xml:space="preserve">andfill </w:t>
      </w:r>
      <w:r w:rsidR="00226C7D" w:rsidRPr="00FD783B">
        <w:t>S</w:t>
      </w:r>
      <w:r w:rsidRPr="00FD783B">
        <w:t xml:space="preserve">ite of </w:t>
      </w:r>
      <w:r w:rsidR="00226C7D" w:rsidRPr="00FD783B">
        <w:t>M</w:t>
      </w:r>
      <w:r w:rsidRPr="00FD783B">
        <w:t xml:space="preserve">unicipal </w:t>
      </w:r>
      <w:r w:rsidR="00226C7D" w:rsidRPr="00FD783B">
        <w:t>S</w:t>
      </w:r>
      <w:r w:rsidRPr="00FD783B">
        <w:t xml:space="preserve">olid </w:t>
      </w:r>
      <w:r w:rsidR="00226C7D" w:rsidRPr="00FD783B">
        <w:t>W</w:t>
      </w:r>
      <w:r w:rsidRPr="00FD783B">
        <w:t>aste. Ministry of Ecology and Environment</w:t>
      </w:r>
      <w:r w:rsidR="00226C7D" w:rsidRPr="00FD783B">
        <w:t xml:space="preserve">, </w:t>
      </w:r>
      <w:r w:rsidRPr="00FD783B">
        <w:t>Beijing, China.</w:t>
      </w:r>
    </w:p>
    <w:p w14:paraId="3808A1DC" w14:textId="59255E11" w:rsidR="000D7881" w:rsidRPr="00FD783B" w:rsidRDefault="000D7881" w:rsidP="00623B10">
      <w:pPr>
        <w:pStyle w:val="EndNoteBibliography"/>
        <w:snapToGrid w:val="0"/>
        <w:spacing w:line="480" w:lineRule="auto"/>
        <w:ind w:left="450" w:hanging="450"/>
      </w:pPr>
      <w:bookmarkStart w:id="134" w:name="OLE_LINK82"/>
      <w:r w:rsidRPr="00FD783B">
        <w:t>GB/T</w:t>
      </w:r>
      <w:bookmarkEnd w:id="134"/>
      <w:r w:rsidRPr="00FD783B">
        <w:t xml:space="preserve"> 4100, 2006. Ceramic </w:t>
      </w:r>
      <w:r w:rsidR="00226C7D" w:rsidRPr="00FD783B">
        <w:t>T</w:t>
      </w:r>
      <w:r w:rsidRPr="00FD783B">
        <w:t>iles. Standards Press of China. Beijing, China.</w:t>
      </w:r>
    </w:p>
    <w:p w14:paraId="3E3652CF" w14:textId="0B50BCC4" w:rsidR="000D7881" w:rsidRPr="00FD783B" w:rsidRDefault="000D7881" w:rsidP="00623B10">
      <w:pPr>
        <w:pStyle w:val="EndNoteBibliography"/>
        <w:snapToGrid w:val="0"/>
        <w:spacing w:line="480" w:lineRule="auto"/>
        <w:ind w:left="450" w:hanging="450"/>
      </w:pPr>
      <w:r w:rsidRPr="00FD783B">
        <w:t xml:space="preserve">Gomes, S.D., Zhou, J.L., Li, W.G., Long, G.C., 2019. Progress in manufacture and properties of construction materials incorporating water treatment sludge: A review. Resour. Conserv. </w:t>
      </w:r>
      <w:r w:rsidRPr="00FD783B">
        <w:lastRenderedPageBreak/>
        <w:t>Recycl. 145, 148-159.</w:t>
      </w:r>
      <w:r w:rsidR="005B1FA7" w:rsidRPr="00FD783B">
        <w:t xml:space="preserve"> https://doi.org/10.1016/j.resconrec.2019.02.032.</w:t>
      </w:r>
    </w:p>
    <w:p w14:paraId="4682A1BD" w14:textId="05CDCB3C" w:rsidR="001165E4" w:rsidRPr="00FD783B" w:rsidRDefault="001165E4" w:rsidP="00623B10">
      <w:pPr>
        <w:pStyle w:val="EndNoteBibliography"/>
        <w:snapToGrid w:val="0"/>
        <w:spacing w:line="480" w:lineRule="auto"/>
        <w:ind w:left="450" w:hanging="450"/>
      </w:pPr>
      <w:r w:rsidRPr="00FD783B">
        <w:t>Guo, W.Q., Yang, S.S., Xiang, W.S., Wang, X.J., Ren, N.Q., 2013. Minimization of excess sludge production by in-situ activated sludge treatment processes</w:t>
      </w:r>
      <w:r w:rsidR="004631EE" w:rsidRPr="00FD783B">
        <w:t>‒</w:t>
      </w:r>
      <w:r w:rsidRPr="00FD783B">
        <w:t>A comprehensive review. Biotechnol. Adv. 31, 1386-1396.</w:t>
      </w:r>
      <w:r w:rsidR="005B1FA7" w:rsidRPr="00FD783B">
        <w:t xml:space="preserve"> https://doi.org/10.1016/j.biotechadv.2013.06.003.</w:t>
      </w:r>
    </w:p>
    <w:p w14:paraId="45139987" w14:textId="327D94F0" w:rsidR="000D7881" w:rsidRDefault="000D7881" w:rsidP="00623B10">
      <w:pPr>
        <w:pStyle w:val="EndNoteBibliography"/>
        <w:snapToGrid w:val="0"/>
        <w:spacing w:line="480" w:lineRule="auto"/>
        <w:ind w:left="450" w:hanging="450"/>
      </w:pPr>
      <w:bookmarkStart w:id="135" w:name="OLE_LINK81"/>
      <w:r w:rsidRPr="00FD783B">
        <w:t>Heimann</w:t>
      </w:r>
      <w:bookmarkEnd w:id="135"/>
      <w:r w:rsidRPr="00FD783B">
        <w:t>, R.B. 2010. Classic and advanced ceramics: from fundamentals to applications. John Wiley &amp; Sons. Hoboken, USA.</w:t>
      </w:r>
    </w:p>
    <w:p w14:paraId="16C78BBD" w14:textId="35ED537E" w:rsidR="00EC6535" w:rsidRPr="00FD783B" w:rsidRDefault="00EC6535" w:rsidP="00623B10">
      <w:pPr>
        <w:pStyle w:val="EndNoteBibliography"/>
        <w:snapToGrid w:val="0"/>
        <w:spacing w:line="480" w:lineRule="auto"/>
        <w:ind w:left="450" w:hanging="450"/>
      </w:pPr>
      <w:r w:rsidRPr="00EC6535">
        <w:t xml:space="preserve">Igarashi, T., Herrera, P.S., Uchiyama, H., Miyamae, H., Iyatomi, N., Hashimoto, K., Tabelin, C.B., 2020. The two-step neutralization ferrite-formation process for sustainable acid mine drainage treatment: Removal of copper, zinc and arsenic, and the influence of coexisting ions on ferritization. </w:t>
      </w:r>
      <w:r w:rsidR="00DC3C19" w:rsidRPr="00FD783B">
        <w:t>Sci. Total Environ</w:t>
      </w:r>
      <w:r w:rsidRPr="00EC6535">
        <w:t>. 715, 136877. https://doi.org/10.1016/j.scitotenv.2020.136877.</w:t>
      </w:r>
    </w:p>
    <w:p w14:paraId="1BF5B114" w14:textId="2AE9D451" w:rsidR="000D7881" w:rsidRPr="00FD783B" w:rsidRDefault="000D7881" w:rsidP="00623B10">
      <w:pPr>
        <w:pStyle w:val="EndNoteBibliography"/>
        <w:snapToGrid w:val="0"/>
        <w:spacing w:line="480" w:lineRule="auto"/>
        <w:ind w:left="450" w:hanging="450"/>
      </w:pPr>
      <w:r w:rsidRPr="00FD783B">
        <w:t>Katzer, J., 2013. Strength performance comparison of mortars made with waste fine aggregate and ceramic fume. Constr Build Mater. 47, 1-6.</w:t>
      </w:r>
      <w:r w:rsidR="005B1FA7" w:rsidRPr="00FD783B">
        <w:t xml:space="preserve"> https://doi.org/10.1016/j.conbuildmat.2013.04.039.</w:t>
      </w:r>
    </w:p>
    <w:p w14:paraId="3B97085C" w14:textId="43CABBF3" w:rsidR="000D7881" w:rsidRPr="00FD783B" w:rsidRDefault="000D7881" w:rsidP="00623B10">
      <w:pPr>
        <w:pStyle w:val="EndNoteBibliography"/>
        <w:snapToGrid w:val="0"/>
        <w:spacing w:line="480" w:lineRule="auto"/>
        <w:ind w:left="450" w:hanging="450"/>
      </w:pPr>
      <w:r w:rsidRPr="00FD783B">
        <w:t>Kor-Bicakci, G., Eskicioglu, C., 2019. Recent developments on thermal municipal sludge pretreatment technologies for enhanced anaerobic digestion. Renew. Sustain. Energy Rev. 110, 423-443.</w:t>
      </w:r>
      <w:r w:rsidR="005B1FA7" w:rsidRPr="00FD783B">
        <w:t xml:space="preserve"> https://doi.org/10.1016/j.rser.2019.05.002.</w:t>
      </w:r>
    </w:p>
    <w:p w14:paraId="2C287ED3" w14:textId="0FA9F405" w:rsidR="000D7881" w:rsidRPr="00FD783B" w:rsidRDefault="000D7881" w:rsidP="00623B10">
      <w:pPr>
        <w:pStyle w:val="EndNoteBibliography"/>
        <w:snapToGrid w:val="0"/>
        <w:spacing w:line="480" w:lineRule="auto"/>
        <w:ind w:left="450" w:hanging="450"/>
      </w:pPr>
      <w:r w:rsidRPr="00FD783B">
        <w:t>Li, L.L., Huang, D.X., Gao, Z.X., Cao, G.Y., Zhao, R.M., Ma, H., Li, X., Li, N., Zhang, A.Y., 2022. Transformation of hazardous zinc sludge into highly porous spinel/whisker-form mullite membranes for the separation of oil-in-water emulsions. J. Eur. Ceram. Soc. 42, 4643-4650.</w:t>
      </w:r>
      <w:r w:rsidR="005B1FA7" w:rsidRPr="00FD783B">
        <w:t xml:space="preserve"> https://doi.org/10.1016/j.jeurceramsoc.2022.04.007.</w:t>
      </w:r>
    </w:p>
    <w:p w14:paraId="2896307B" w14:textId="7A82ECF2" w:rsidR="000D7881" w:rsidRPr="00FD783B" w:rsidRDefault="000D7881" w:rsidP="00623B10">
      <w:pPr>
        <w:pStyle w:val="EndNoteBibliography"/>
        <w:snapToGrid w:val="0"/>
        <w:spacing w:line="480" w:lineRule="auto"/>
        <w:ind w:left="450" w:hanging="450"/>
      </w:pPr>
      <w:r w:rsidRPr="00FD783B">
        <w:t>Liang, J.J., Lin, Q.H., Zhang, X., Jin, T., Zhou, Y.Z., Sun, X.F., Choi, B.G., Kim, I.S., Do, J.H., Jo, C.Y., 2017. Effects of alumina on cristobalite crystallization and properties of silica-based ceramic cores. J. Mater. Sci. Technol. 33, 204-209.</w:t>
      </w:r>
      <w:r w:rsidR="005B1FA7" w:rsidRPr="00FD783B">
        <w:t xml:space="preserve"> https://doi.org/10.1016/j.jmst.2016.02.012.</w:t>
      </w:r>
    </w:p>
    <w:p w14:paraId="24CEB1A2" w14:textId="27C520B5" w:rsidR="000D7881" w:rsidRPr="00FD783B" w:rsidRDefault="000D7881" w:rsidP="00623B10">
      <w:pPr>
        <w:pStyle w:val="EndNoteBibliography"/>
        <w:snapToGrid w:val="0"/>
        <w:spacing w:line="480" w:lineRule="auto"/>
        <w:ind w:left="450" w:hanging="450"/>
      </w:pPr>
      <w:r w:rsidRPr="00FD783B">
        <w:lastRenderedPageBreak/>
        <w:t xml:space="preserve">Liang, Y., Ma, X., Qiu, H. 2019. </w:t>
      </w:r>
      <w:bookmarkStart w:id="136" w:name="OLE_LINK85"/>
      <w:r w:rsidRPr="00FD783B">
        <w:t>Preparation and characterization of an all oxide ceramic matrix composite by a novel method</w:t>
      </w:r>
      <w:bookmarkEnd w:id="136"/>
      <w:r w:rsidRPr="00FD783B">
        <w:t xml:space="preserve">. </w:t>
      </w:r>
      <w:r w:rsidR="00A24351" w:rsidRPr="00A24351">
        <w:t>IOP Conf. Ser. Mater. Sci. Eng</w:t>
      </w:r>
      <w:r w:rsidRPr="00FD783B">
        <w:t>. 678, 012030.</w:t>
      </w:r>
      <w:r w:rsidR="005B1FA7" w:rsidRPr="00FD783B">
        <w:t xml:space="preserve"> https://doi.org/10.1088/1757-899X/678/1/012030.</w:t>
      </w:r>
    </w:p>
    <w:p w14:paraId="28814A40" w14:textId="549BE107" w:rsidR="000D7881" w:rsidRPr="00FD783B" w:rsidRDefault="000D7881" w:rsidP="00623B10">
      <w:pPr>
        <w:pStyle w:val="EndNoteBibliography"/>
        <w:snapToGrid w:val="0"/>
        <w:spacing w:line="480" w:lineRule="auto"/>
        <w:ind w:left="450" w:hanging="450"/>
      </w:pPr>
      <w:r w:rsidRPr="00FD783B">
        <w:t>Loutou, M., Hajjaji, M., Mansori, M., Favotto, C., Hakkou, R., 2013. Phosphate sludge: thermal transformation and use as lightweight aggregate material. J Environ Manage. 130, 354-360.</w:t>
      </w:r>
      <w:r w:rsidR="005B1FA7" w:rsidRPr="00FD783B">
        <w:t xml:space="preserve"> https://doi.org/10.1016/j.jenvman.2013.09.004.</w:t>
      </w:r>
    </w:p>
    <w:p w14:paraId="030A4E26" w14:textId="2C44D6AD" w:rsidR="000D7881" w:rsidRPr="00FD783B" w:rsidRDefault="000D7881" w:rsidP="00623B10">
      <w:pPr>
        <w:pStyle w:val="EndNoteBibliography"/>
        <w:snapToGrid w:val="0"/>
        <w:spacing w:line="480" w:lineRule="auto"/>
        <w:ind w:left="450" w:hanging="450"/>
      </w:pPr>
      <w:r w:rsidRPr="00FD783B">
        <w:t>Lu, D., Wu, D., Qian, T., Jiang, J., Cao, S., Zhou, Y., 2020. Liquid and solids separation for target resource recovery from thermal hydrolyzed sludge. Water Res. 171, 115476.</w:t>
      </w:r>
      <w:r w:rsidR="005B1FA7" w:rsidRPr="00FD783B">
        <w:t xml:space="preserve"> https://doi.org/10.1016/j.watres.2020.115476.</w:t>
      </w:r>
    </w:p>
    <w:p w14:paraId="3D64B390" w14:textId="3AF74547" w:rsidR="000D7881" w:rsidRPr="00FD783B" w:rsidRDefault="000D7881" w:rsidP="00623B10">
      <w:pPr>
        <w:pStyle w:val="EndNoteBibliography"/>
        <w:snapToGrid w:val="0"/>
        <w:spacing w:line="480" w:lineRule="auto"/>
        <w:ind w:left="450" w:hanging="450"/>
      </w:pPr>
      <w:r w:rsidRPr="00FD783B">
        <w:t>Luo, Y., Wang, J.Y., Wu, Y.H., Li, X.Y., Chu, P.K., Qi, T., 2021. Substitution of quartz and clay with fly ash in the production of architectural ceramics: A mechanistic study. Ceram. Int. 47, 12514-12525.</w:t>
      </w:r>
      <w:r w:rsidR="005B1FA7" w:rsidRPr="00FD783B">
        <w:t xml:space="preserve"> https://doi.org/10.1016/j.ceramint.2021.01.109.</w:t>
      </w:r>
    </w:p>
    <w:p w14:paraId="5B497826" w14:textId="5C3AA41E" w:rsidR="000D7881" w:rsidRPr="00FD783B" w:rsidRDefault="000D7881" w:rsidP="00623B10">
      <w:pPr>
        <w:pStyle w:val="EndNoteBibliography"/>
        <w:snapToGrid w:val="0"/>
        <w:spacing w:line="480" w:lineRule="auto"/>
        <w:ind w:left="450" w:hanging="450"/>
      </w:pPr>
      <w:r w:rsidRPr="00FD783B">
        <w:t>Luo, Y., Zheng, S.L., Ma, S.H., Liu, C.L., Wang, X.H., 2017. Ceramic tiles derived from coal fly ash: Preparation and mechanical characterization. Ceram. Int. 43, 11953-11966.</w:t>
      </w:r>
      <w:r w:rsidR="005B1FA7" w:rsidRPr="00FD783B">
        <w:t xml:space="preserve"> https://doi.org/10.1016/j.ceramint.2017.06.045.</w:t>
      </w:r>
    </w:p>
    <w:p w14:paraId="2C933CAC" w14:textId="18213F0F" w:rsidR="000D7881" w:rsidRPr="00FD783B" w:rsidRDefault="000D7881" w:rsidP="00623B10">
      <w:pPr>
        <w:pStyle w:val="EndNoteBibliography"/>
        <w:snapToGrid w:val="0"/>
        <w:spacing w:line="480" w:lineRule="auto"/>
        <w:ind w:left="450" w:hanging="450"/>
      </w:pPr>
      <w:r w:rsidRPr="00FD783B">
        <w:t>Lynn, C.J., Dhir, R.K., Ghataora, G.S., 2018. Environmental impacts of sewage sludge ash in construction: Leaching assessment. Resour. Conserv. Recycl. 136, 306-314.</w:t>
      </w:r>
      <w:r w:rsidR="005B1FA7" w:rsidRPr="00FD783B">
        <w:t xml:space="preserve"> https://doi.org/10.1016/j.resconrec.2018.04.029.</w:t>
      </w:r>
    </w:p>
    <w:p w14:paraId="278B576C" w14:textId="2A88629A" w:rsidR="000D7881" w:rsidRPr="00FD783B" w:rsidRDefault="000D7881" w:rsidP="00623B10">
      <w:pPr>
        <w:pStyle w:val="EndNoteBibliography"/>
        <w:snapToGrid w:val="0"/>
        <w:spacing w:line="480" w:lineRule="auto"/>
        <w:ind w:left="450" w:hanging="450"/>
      </w:pPr>
      <w:r w:rsidRPr="00FD783B">
        <w:t>Monteiro, S.N., Alexandre, J., Margern, J.I., Saanchez, R., Vieira, C.M.F., 2008. Incorporation of sludge waste from water treatment plant into red ceramic. Constr Build Mater. 22, 1281-1287.</w:t>
      </w:r>
      <w:r w:rsidR="005B1FA7" w:rsidRPr="00FD783B">
        <w:t xml:space="preserve"> https://doi.org/10.1016/j.conbuildmat.2007.01.013.</w:t>
      </w:r>
    </w:p>
    <w:p w14:paraId="27A581E8" w14:textId="5B72FCCE" w:rsidR="000D7881" w:rsidRPr="00FD783B" w:rsidRDefault="000D7881" w:rsidP="00623B10">
      <w:pPr>
        <w:pStyle w:val="EndNoteBibliography"/>
        <w:snapToGrid w:val="0"/>
        <w:spacing w:line="480" w:lineRule="auto"/>
        <w:ind w:left="450" w:hanging="450"/>
      </w:pPr>
      <w:r w:rsidRPr="00FD783B">
        <w:t>Monteiro, S.N., Vieira, C.M.F., 2014. On the production of fired clay bricks from waste materials: A critical update. Constr Build Mater. 68, 599-610.</w:t>
      </w:r>
      <w:r w:rsidR="005B1FA7" w:rsidRPr="00FD783B">
        <w:t xml:space="preserve"> https://doi.org/10.1016/j.conbuildmat.2014.07.006.</w:t>
      </w:r>
    </w:p>
    <w:p w14:paraId="1375798D" w14:textId="5A0AA5C3" w:rsidR="000D7881" w:rsidRPr="00FD783B" w:rsidRDefault="000D7881" w:rsidP="00623B10">
      <w:pPr>
        <w:pStyle w:val="EndNoteBibliography"/>
        <w:snapToGrid w:val="0"/>
        <w:spacing w:line="480" w:lineRule="auto"/>
        <w:ind w:left="450" w:hanging="450"/>
      </w:pPr>
      <w:r w:rsidRPr="00FD783B">
        <w:t xml:space="preserve">NEN, 1995. Leaching </w:t>
      </w:r>
      <w:r w:rsidR="007F2A2E" w:rsidRPr="00FD783B">
        <w:t>C</w:t>
      </w:r>
      <w:r w:rsidRPr="00FD783B">
        <w:t xml:space="preserve">haracteristics of </w:t>
      </w:r>
      <w:r w:rsidR="007F2A2E" w:rsidRPr="00FD783B">
        <w:t>S</w:t>
      </w:r>
      <w:r w:rsidRPr="00FD783B">
        <w:t xml:space="preserve">olid </w:t>
      </w:r>
      <w:r w:rsidR="007F2A2E" w:rsidRPr="00FD783B">
        <w:t>E</w:t>
      </w:r>
      <w:r w:rsidRPr="00FD783B">
        <w:t xml:space="preserve">arthy and </w:t>
      </w:r>
      <w:r w:rsidR="007F2A2E" w:rsidRPr="00FD783B">
        <w:t>S</w:t>
      </w:r>
      <w:r w:rsidRPr="00FD783B">
        <w:t xml:space="preserve">tony </w:t>
      </w:r>
      <w:r w:rsidR="007F2A2E" w:rsidRPr="00FD783B">
        <w:t>B</w:t>
      </w:r>
      <w:r w:rsidRPr="00FD783B">
        <w:t xml:space="preserve">uilding and </w:t>
      </w:r>
      <w:r w:rsidR="007F2A2E" w:rsidRPr="00FD783B">
        <w:t>W</w:t>
      </w:r>
      <w:r w:rsidRPr="00FD783B">
        <w:t xml:space="preserve">aste </w:t>
      </w:r>
      <w:r w:rsidR="007F2A2E" w:rsidRPr="00FD783B">
        <w:t>M</w:t>
      </w:r>
      <w:r w:rsidRPr="00FD783B">
        <w:t xml:space="preserve">aterials. </w:t>
      </w:r>
      <w:r w:rsidRPr="00FD783B">
        <w:lastRenderedPageBreak/>
        <w:t xml:space="preserve">The Netherlands </w:t>
      </w:r>
      <w:r w:rsidR="007F2A2E" w:rsidRPr="00FD783B">
        <w:t>S</w:t>
      </w:r>
      <w:r w:rsidRPr="00FD783B">
        <w:t xml:space="preserve">tandardization </w:t>
      </w:r>
      <w:r w:rsidR="007F2A2E" w:rsidRPr="00FD783B">
        <w:t>I</w:t>
      </w:r>
      <w:r w:rsidRPr="00FD783B">
        <w:t>nstitute. Delft, Netherlands.</w:t>
      </w:r>
    </w:p>
    <w:p w14:paraId="1CC4C8A7" w14:textId="605AFE10" w:rsidR="000D7881" w:rsidRPr="00FD783B" w:rsidRDefault="000D7881" w:rsidP="005B1FA7">
      <w:pPr>
        <w:pStyle w:val="EndNoteBibliography"/>
        <w:snapToGrid w:val="0"/>
        <w:spacing w:line="480" w:lineRule="auto"/>
        <w:ind w:left="450" w:hanging="450"/>
      </w:pPr>
      <w:r w:rsidRPr="00FD783B">
        <w:t>Ojo, E.B., Mustapha, K., Teixeira, R.S., Savastano, H., 2019. Development of unfired earthen building materials using muscovite rich soils and alkali activators. Case Stud. Constr. Mater. 11, e00262.</w:t>
      </w:r>
      <w:r w:rsidR="005B1FA7" w:rsidRPr="00FD783B">
        <w:t xml:space="preserve"> https://doi.org/10.1016/j.cscm.2019.e00262.</w:t>
      </w:r>
    </w:p>
    <w:p w14:paraId="44526B83" w14:textId="658DF58F" w:rsidR="000D7881" w:rsidRPr="00FD783B" w:rsidRDefault="000D7881" w:rsidP="005B1FA7">
      <w:pPr>
        <w:pStyle w:val="EndNoteBibliography"/>
        <w:snapToGrid w:val="0"/>
        <w:spacing w:line="480" w:lineRule="auto"/>
        <w:ind w:left="450" w:hanging="450"/>
      </w:pPr>
      <w:r w:rsidRPr="00FD783B">
        <w:t>Ottosen, L.M., Bertelsen, I.M.G., Jensen, P.E., Kirkelund, G.M., 2020. Sewage sludge ash as resource for phosphorous and material for clay brick manufacturing. Constr Build Mater. 249, 118684.</w:t>
      </w:r>
      <w:r w:rsidR="005B1FA7" w:rsidRPr="00FD783B">
        <w:t xml:space="preserve"> https://doi.org/10.1016/j.conbuildmat.2020.118684.</w:t>
      </w:r>
    </w:p>
    <w:p w14:paraId="28F346F3" w14:textId="37D65D4A" w:rsidR="000D7881" w:rsidRPr="00FD783B" w:rsidRDefault="000D7881" w:rsidP="00623B10">
      <w:pPr>
        <w:pStyle w:val="EndNoteBibliography"/>
        <w:snapToGrid w:val="0"/>
        <w:spacing w:line="480" w:lineRule="auto"/>
        <w:ind w:left="450" w:hanging="450"/>
      </w:pPr>
      <w:r w:rsidRPr="00FD783B">
        <w:t>Pagliari, L., Dapiaggi, M., Pavese, A., Francescon, F., 2013. A kinetic study of the quartz-cristobalite phase transition. J. Eur. Ceram. Soc. 33, 3403-3410.</w:t>
      </w:r>
      <w:r w:rsidR="005B1FA7" w:rsidRPr="00FD783B">
        <w:t xml:space="preserve"> https://doi.org/10.1016/j.jeurceramsoc.2013.06.014.</w:t>
      </w:r>
    </w:p>
    <w:p w14:paraId="17F5A143" w14:textId="5FA742D7" w:rsidR="000D7881" w:rsidRPr="00FD783B" w:rsidRDefault="000D7881" w:rsidP="00623B10">
      <w:pPr>
        <w:pStyle w:val="EndNoteBibliography"/>
        <w:snapToGrid w:val="0"/>
        <w:spacing w:line="480" w:lineRule="auto"/>
        <w:ind w:left="450" w:hanging="450"/>
      </w:pPr>
      <w:r w:rsidRPr="00FD783B">
        <w:t>Qi, Y., Yue, Q., Han, S., Yue, M., Gao, B., Yu, H., Shao, T., 2010. Preparation and mechanism of ultra-lightweight ceramics produced from sewage sludge. J. Hazard. Mater. 176, 76-84.</w:t>
      </w:r>
      <w:r w:rsidR="005B1FA7" w:rsidRPr="00FD783B">
        <w:t xml:space="preserve"> https://doi.org/10.1016/j.jhazmat.2009.11.001.</w:t>
      </w:r>
    </w:p>
    <w:p w14:paraId="44D5D293" w14:textId="1DACBED1" w:rsidR="009A78B2" w:rsidRPr="00FD783B" w:rsidRDefault="009A78B2" w:rsidP="00623B10">
      <w:pPr>
        <w:pStyle w:val="EndNoteBibliography"/>
        <w:snapToGrid w:val="0"/>
        <w:spacing w:line="480" w:lineRule="auto"/>
        <w:ind w:left="450" w:hanging="450"/>
      </w:pPr>
      <w:r w:rsidRPr="00FD783B">
        <w:t>Scheidema, M.N., Taskinen, P., 2011. Decomposition thermodynamics of magnesium sulfate. Ind. Eng. Chem. Res. 50, 9550-9556.</w:t>
      </w:r>
      <w:r w:rsidR="005B1FA7" w:rsidRPr="00FD783B">
        <w:t xml:space="preserve"> https://doi.org/10.1021/ie102554f.</w:t>
      </w:r>
    </w:p>
    <w:p w14:paraId="2BB6A17A" w14:textId="1A64E287" w:rsidR="00526E7B" w:rsidRDefault="000D7881" w:rsidP="00623B10">
      <w:pPr>
        <w:pStyle w:val="EndNoteBibliography"/>
        <w:snapToGrid w:val="0"/>
        <w:spacing w:line="480" w:lineRule="auto"/>
        <w:ind w:left="450" w:hanging="450"/>
      </w:pPr>
      <w:r w:rsidRPr="00FD783B">
        <w:t>Schneider, H., Schreuer, J., Hildmann, B., 2008. Structure and properties of mullite - A review. J. Eur. Ceram. Soc. 28, 329-344</w:t>
      </w:r>
      <w:r w:rsidR="00526E7B" w:rsidRPr="00526E7B">
        <w:t>. https://doi.org/10.1016/j.jeurceramsoc.2007.03.017.</w:t>
      </w:r>
    </w:p>
    <w:p w14:paraId="022CC946" w14:textId="0A2F06B8" w:rsidR="00526E7B" w:rsidRPr="00FD783B" w:rsidRDefault="00526E7B" w:rsidP="00623B10">
      <w:pPr>
        <w:pStyle w:val="EndNoteBibliography"/>
        <w:snapToGrid w:val="0"/>
        <w:spacing w:line="480" w:lineRule="auto"/>
        <w:ind w:left="450" w:hanging="450"/>
      </w:pPr>
      <w:bookmarkStart w:id="137" w:name="OLE_LINK101"/>
      <w:r w:rsidRPr="00526E7B">
        <w:t>Tauqeer, H.M., Basharat, Z., Ramzani, P.M.A., Farhad, M., Lewińska, K., Turan, V., Karczewska, A., Khan, S.A., Faran, G.</w:t>
      </w:r>
      <w:r w:rsidR="00C846B8">
        <w:t>E</w:t>
      </w:r>
      <w:r w:rsidRPr="00526E7B">
        <w:t xml:space="preserve">., Iqbal, M., </w:t>
      </w:r>
      <w:bookmarkEnd w:id="137"/>
      <w:r w:rsidRPr="00526E7B">
        <w:t xml:space="preserve">2022. </w:t>
      </w:r>
      <w:bookmarkStart w:id="138" w:name="OLE_LINK100"/>
      <w:r w:rsidRPr="00526E7B">
        <w:t>Aspergillus niger-mediated release of phosphates from fish bone char reduces Pb phytoavailability in Pb-acid batteries polluted soil, and accumulation in fenugreek. Environ. Pollut. 313, 120064. https://doi.org/10.1016/j.envpol.2022.120064.</w:t>
      </w:r>
      <w:bookmarkEnd w:id="138"/>
    </w:p>
    <w:p w14:paraId="085B22B6" w14:textId="76F5D071" w:rsidR="00736838" w:rsidRPr="00FD783B" w:rsidRDefault="00736838" w:rsidP="00623B10">
      <w:pPr>
        <w:pStyle w:val="EndNoteBibliography"/>
        <w:snapToGrid w:val="0"/>
        <w:spacing w:line="480" w:lineRule="auto"/>
        <w:ind w:left="450" w:hanging="450"/>
      </w:pPr>
      <w:r w:rsidRPr="00FD783B">
        <w:t>Taboada-Santos, A., Lema, J.M., Carballa, M., 2019. Energetic and economic assessment of sludge thermal hydrolysis in novel wastewater treatment plant configurations. Waste Manage. 92, 30-38.</w:t>
      </w:r>
      <w:r w:rsidR="005B1FA7" w:rsidRPr="00FD783B">
        <w:t xml:space="preserve"> https://doi.org/10.1016/j.wasman.2019.05.003.</w:t>
      </w:r>
    </w:p>
    <w:p w14:paraId="18BC7B08" w14:textId="7336699D" w:rsidR="000D7881" w:rsidRPr="00FD783B" w:rsidRDefault="000D7881" w:rsidP="00623B10">
      <w:pPr>
        <w:pStyle w:val="EndNoteBibliography"/>
        <w:snapToGrid w:val="0"/>
        <w:spacing w:line="480" w:lineRule="auto"/>
        <w:ind w:left="450" w:hanging="450"/>
      </w:pPr>
      <w:bookmarkStart w:id="139" w:name="OLE_LINK103"/>
      <w:r w:rsidRPr="00FD783B">
        <w:lastRenderedPageBreak/>
        <w:t>Tikare, V., Braginsky, M., Olevsky, E.A., 2003. Numerical simulation of solid-state sintering: I, sintering of three particles. J. Am. Ceram. Soc. 86, 49-53.</w:t>
      </w:r>
      <w:r w:rsidR="005B1FA7" w:rsidRPr="00FD783B">
        <w:t xml:space="preserve"> </w:t>
      </w:r>
      <w:bookmarkEnd w:id="139"/>
      <w:r w:rsidR="005B1FA7" w:rsidRPr="00FD783B">
        <w:t>https://doi.org/10.1111/j.1151-2916.2003.tb03276.x.</w:t>
      </w:r>
    </w:p>
    <w:p w14:paraId="11C8A891" w14:textId="5108C281" w:rsidR="000D7881" w:rsidRPr="00FD783B" w:rsidRDefault="000D7881" w:rsidP="00623B10">
      <w:pPr>
        <w:pStyle w:val="EndNoteBibliography"/>
        <w:snapToGrid w:val="0"/>
        <w:spacing w:line="480" w:lineRule="auto"/>
        <w:ind w:left="450" w:hanging="450"/>
      </w:pPr>
      <w:r w:rsidRPr="00FD783B">
        <w:t>Tombacz, E., Szekeres, M., 2004. Colloidal behavior of aqueous montmorillonite suspensions: the specific role of pH in the presence of indifferent electrolytes. Appl. Clay Sci. 27, 75-94.</w:t>
      </w:r>
      <w:r w:rsidR="005B1FA7" w:rsidRPr="00FD783B">
        <w:t xml:space="preserve"> https://doi.org/10.1016/j.clay.2004.01.001.</w:t>
      </w:r>
    </w:p>
    <w:p w14:paraId="59F7812A" w14:textId="12CE3B79" w:rsidR="000D7881" w:rsidRDefault="000D7881" w:rsidP="00623B10">
      <w:pPr>
        <w:pStyle w:val="EndNoteBibliography"/>
        <w:snapToGrid w:val="0"/>
        <w:spacing w:line="480" w:lineRule="auto"/>
        <w:ind w:left="450" w:hanging="450"/>
      </w:pPr>
      <w:r w:rsidRPr="00FD783B">
        <w:t xml:space="preserve">Tsai, C.C., Wang, K.S., Chiou, I.J., 2006. </w:t>
      </w:r>
      <w:bookmarkStart w:id="140" w:name="OLE_LINK97"/>
      <w:r w:rsidRPr="00FD783B">
        <w:t>Effect of SiO</w:t>
      </w:r>
      <w:r w:rsidRPr="00FD783B">
        <w:rPr>
          <w:vertAlign w:val="subscript"/>
        </w:rPr>
        <w:t>2</w:t>
      </w:r>
      <w:r w:rsidRPr="00FD783B">
        <w:t>-Al</w:t>
      </w:r>
      <w:r w:rsidRPr="00FD783B">
        <w:rPr>
          <w:vertAlign w:val="subscript"/>
        </w:rPr>
        <w:t>2</w:t>
      </w:r>
      <w:r w:rsidRPr="00FD783B">
        <w:t>O</w:t>
      </w:r>
      <w:r w:rsidRPr="00FD783B">
        <w:rPr>
          <w:vertAlign w:val="subscript"/>
        </w:rPr>
        <w:t>3</w:t>
      </w:r>
      <w:r w:rsidRPr="00FD783B">
        <w:t>-flux ratio change on the bloating characteristics of lightweight aggregate material produced from recycled sewage sludge. J. Hazard. Mater. 134, 87-93.</w:t>
      </w:r>
      <w:r w:rsidR="005B1FA7" w:rsidRPr="00FD783B">
        <w:t xml:space="preserve"> https://doi.org/10.1016/j.jhazmat.2005.10.035.</w:t>
      </w:r>
      <w:bookmarkEnd w:id="140"/>
    </w:p>
    <w:p w14:paraId="10E26A2F" w14:textId="77777777" w:rsidR="00526E7B" w:rsidRDefault="00526E7B" w:rsidP="00526E7B">
      <w:pPr>
        <w:pStyle w:val="EndNoteBibliography"/>
        <w:snapToGrid w:val="0"/>
        <w:spacing w:line="480" w:lineRule="auto"/>
        <w:ind w:left="450" w:hanging="450"/>
      </w:pPr>
      <w:r>
        <w:t>Turan, V., 2021. Arbuscular mycorrhizal fungi and pistachio husk biochar combination reduces Ni distribution in mungbean plant and improves plant antioxidants and soil enzymes. Physiol. Plant. 173, 418-429. https://doi.org/10.1111/ppl.13490.</w:t>
      </w:r>
    </w:p>
    <w:p w14:paraId="0CCC5EE3" w14:textId="5910480B" w:rsidR="00526E7B" w:rsidRPr="00FD783B" w:rsidRDefault="00526E7B" w:rsidP="00526E7B">
      <w:pPr>
        <w:pStyle w:val="EndNoteBibliography"/>
        <w:snapToGrid w:val="0"/>
        <w:spacing w:line="480" w:lineRule="auto"/>
        <w:ind w:left="450" w:hanging="450"/>
      </w:pPr>
      <w:r>
        <w:t>Turan, V., Khan, S.A., Iqbal, M., Ramzani, P.M.A., Fatima, M., 2018. Promoting the productivity and quality of brinjal aligned with heavy metals immobilization in a wastewater irrigated heavy metal polluted soil with biochar and chitosan. Ecotoxicol. Environ. Saf. 161, 409-419. https://doi.org/10.1016/j.ecoenv.2018.05.082.</w:t>
      </w:r>
    </w:p>
    <w:p w14:paraId="072314D5" w14:textId="0F114964" w:rsidR="000D7881" w:rsidRPr="00FD783B" w:rsidRDefault="000D7881" w:rsidP="00623B10">
      <w:pPr>
        <w:pStyle w:val="EndNoteBibliography"/>
        <w:snapToGrid w:val="0"/>
        <w:spacing w:line="480" w:lineRule="auto"/>
        <w:ind w:left="450" w:hanging="450"/>
      </w:pPr>
      <w:r w:rsidRPr="00FD783B">
        <w:t>Vashistha, P., Kumar, V., Singh, S.K., Dutt, D., Tomar, G., Yadav, P., 2019. Valorization of paper mill lime sludge via application in building construction materials: A review. Constr Build Mater. 211, 371-382.</w:t>
      </w:r>
      <w:r w:rsidR="005B1FA7" w:rsidRPr="00FD783B">
        <w:t xml:space="preserve"> https://doi.org/10.1016/j.conbuildmat.2019.03.085.</w:t>
      </w:r>
    </w:p>
    <w:p w14:paraId="67E2EA6C" w14:textId="3275A042" w:rsidR="000D7881" w:rsidRPr="00FD783B" w:rsidRDefault="000D7881" w:rsidP="005B1FA7">
      <w:pPr>
        <w:pStyle w:val="EndNoteBibliography"/>
        <w:snapToGrid w:val="0"/>
        <w:spacing w:line="480" w:lineRule="auto"/>
        <w:ind w:left="450" w:hanging="450"/>
      </w:pPr>
      <w:r w:rsidRPr="00FD783B">
        <w:t>Wang, J.X., Liu, H., Deng, H.P., Jin, M.H., Xiao, H., Yao, H., 2020. Deep dewatering of sewage sludge and simultaneous preparation of derived fuel via carbonaceous skeleton-aided thermal hydrolysis. Chem. Eng. J. 402, 126255.</w:t>
      </w:r>
      <w:r w:rsidR="005B1FA7" w:rsidRPr="00FD783B">
        <w:t xml:space="preserve"> https://doi.org/10.1016/j.cej.2020.126255.</w:t>
      </w:r>
    </w:p>
    <w:p w14:paraId="0748102C" w14:textId="1B4DFE43" w:rsidR="000D7881" w:rsidRPr="00FD783B" w:rsidRDefault="000D7881" w:rsidP="00623B10">
      <w:pPr>
        <w:pStyle w:val="EndNoteBibliography"/>
        <w:snapToGrid w:val="0"/>
        <w:spacing w:line="480" w:lineRule="auto"/>
        <w:ind w:left="450" w:hanging="450"/>
      </w:pPr>
      <w:r w:rsidRPr="00FD783B">
        <w:t>Wang, M.C., Song, Q.G., Gu, Y.Q., Wu, C.R., Liu, J.C., Zhou, X.M., Du, M.R., 2019. Multiple high-temperature resistant phases modified phosphate-based adhesive for engineering ceramic connection in extreme environment. Ceram. Int. 45, 516-521.</w:t>
      </w:r>
      <w:r w:rsidR="005B1FA7" w:rsidRPr="00FD783B">
        <w:t xml:space="preserve"> </w:t>
      </w:r>
      <w:r w:rsidR="005B1FA7" w:rsidRPr="00FD783B">
        <w:lastRenderedPageBreak/>
        <w:t>https://doi.org/10.1016/j.ceramint.2018.09.203.</w:t>
      </w:r>
    </w:p>
    <w:p w14:paraId="72A120C7" w14:textId="3E44553A" w:rsidR="000D7881" w:rsidRPr="00FD783B" w:rsidRDefault="000D7881" w:rsidP="005B1FA7">
      <w:pPr>
        <w:pStyle w:val="EndNoteBibliography"/>
        <w:snapToGrid w:val="0"/>
        <w:spacing w:line="480" w:lineRule="auto"/>
        <w:ind w:left="450" w:hanging="450"/>
      </w:pPr>
      <w:r w:rsidRPr="00FD783B">
        <w:t>Wei, L.L., Zhu, F.Y., Li, Q.Y., Xue, C.H., Xia, X.H., Yu, H., Zhao, Q.L., Jiang, J.Q., Bai, S.W., 2020. Development, current state and future trends of sludge management in China: Based on exploratory data and CO</w:t>
      </w:r>
      <w:r w:rsidRPr="00FD783B">
        <w:rPr>
          <w:vertAlign w:val="subscript"/>
        </w:rPr>
        <w:t>2</w:t>
      </w:r>
      <w:r w:rsidRPr="00FD783B">
        <w:t>-equivaient emissions analysis. Environ. Int. 144, 106093.</w:t>
      </w:r>
      <w:r w:rsidR="005B1FA7" w:rsidRPr="00FD783B">
        <w:t xml:space="preserve"> https://doi.org/10.1016/j.envint.2020.106093.</w:t>
      </w:r>
    </w:p>
    <w:p w14:paraId="2A73665C" w14:textId="6930751E" w:rsidR="000D7881" w:rsidRPr="00FD783B" w:rsidRDefault="000D7881" w:rsidP="00623B10">
      <w:pPr>
        <w:pStyle w:val="EndNoteBibliography"/>
        <w:snapToGrid w:val="0"/>
        <w:spacing w:line="480" w:lineRule="auto"/>
        <w:ind w:left="450" w:hanging="450"/>
      </w:pPr>
      <w:r w:rsidRPr="00FD783B">
        <w:t>Wen, L., Huang, X.W., Li, X.Y., 2022. Enhanced production of short-chain fatty acids from sludge by thermal hydrolysis and acidogenic fermentation for organic resource recovery. Sci. Total Environ. 828, 154389.</w:t>
      </w:r>
      <w:r w:rsidR="00001E5E" w:rsidRPr="00FD783B">
        <w:t xml:space="preserve"> https://doi.org/10.1016/j.scitotenv.2022.154389.</w:t>
      </w:r>
    </w:p>
    <w:p w14:paraId="282A98D6" w14:textId="1EA751F4" w:rsidR="000D7881" w:rsidRPr="00FD783B" w:rsidRDefault="000D7881" w:rsidP="00623B10">
      <w:pPr>
        <w:pStyle w:val="EndNoteBibliography"/>
        <w:snapToGrid w:val="0"/>
        <w:spacing w:line="480" w:lineRule="auto"/>
        <w:ind w:left="450" w:hanging="450"/>
      </w:pPr>
      <w:r w:rsidRPr="00FD783B">
        <w:t xml:space="preserve">Wen, L., Li, X.Y., 2022. </w:t>
      </w:r>
      <w:bookmarkStart w:id="141" w:name="OLE_LINK109"/>
      <w:r w:rsidRPr="00FD783B">
        <w:t>Production of intracellular lipids from thermally hydrolyzed waste sludge by oleaginous yeast for energy and resource recovery. Energy Convers. Manage. 252, 115129.</w:t>
      </w:r>
      <w:bookmarkEnd w:id="141"/>
      <w:r w:rsidR="0047335F" w:rsidRPr="00FD783B">
        <w:t xml:space="preserve"> https://doi.org/10.1016/j.enconman.2021.115129.</w:t>
      </w:r>
    </w:p>
    <w:p w14:paraId="0536132D" w14:textId="3A044E55" w:rsidR="000D7881" w:rsidRPr="00FD783B" w:rsidRDefault="000D7881" w:rsidP="00623B10">
      <w:pPr>
        <w:pStyle w:val="EndNoteBibliography"/>
        <w:snapToGrid w:val="0"/>
        <w:spacing w:line="480" w:lineRule="auto"/>
        <w:ind w:left="450" w:hanging="450"/>
      </w:pPr>
      <w:r w:rsidRPr="00FD783B">
        <w:t xml:space="preserve">Wonisch, A., Kraft, T., Moseler, M., Riedel, H., 2009. Effect of </w:t>
      </w:r>
      <w:r w:rsidR="00226C7D" w:rsidRPr="00FD783B">
        <w:t>d</w:t>
      </w:r>
      <w:r w:rsidRPr="00FD783B">
        <w:t xml:space="preserve">ifferent </w:t>
      </w:r>
      <w:r w:rsidR="00226C7D" w:rsidRPr="00FD783B">
        <w:t>p</w:t>
      </w:r>
      <w:r w:rsidRPr="00FD783B">
        <w:t xml:space="preserve">article </w:t>
      </w:r>
      <w:r w:rsidR="00226C7D" w:rsidRPr="00FD783B">
        <w:t>s</w:t>
      </w:r>
      <w:r w:rsidRPr="00FD783B">
        <w:t xml:space="preserve">ize </w:t>
      </w:r>
      <w:r w:rsidR="00226C7D" w:rsidRPr="00FD783B">
        <w:t>d</w:t>
      </w:r>
      <w:r w:rsidRPr="00FD783B">
        <w:t xml:space="preserve">istributions on </w:t>
      </w:r>
      <w:r w:rsidR="00226C7D" w:rsidRPr="00FD783B">
        <w:t>s</w:t>
      </w:r>
      <w:r w:rsidRPr="00FD783B">
        <w:t>olid-</w:t>
      </w:r>
      <w:r w:rsidR="00226C7D" w:rsidRPr="00FD783B">
        <w:t>s</w:t>
      </w:r>
      <w:r w:rsidRPr="00FD783B">
        <w:t xml:space="preserve">tate </w:t>
      </w:r>
      <w:r w:rsidR="00226C7D" w:rsidRPr="00FD783B">
        <w:t>s</w:t>
      </w:r>
      <w:r w:rsidRPr="00FD783B">
        <w:t xml:space="preserve">intering: A </w:t>
      </w:r>
      <w:r w:rsidR="00226C7D" w:rsidRPr="00FD783B">
        <w:t>m</w:t>
      </w:r>
      <w:r w:rsidRPr="00FD783B">
        <w:t xml:space="preserve">icroscopic </w:t>
      </w:r>
      <w:r w:rsidR="00226C7D" w:rsidRPr="00FD783B">
        <w:t>s</w:t>
      </w:r>
      <w:r w:rsidRPr="00FD783B">
        <w:t xml:space="preserve">imulation </w:t>
      </w:r>
      <w:r w:rsidR="00226C7D" w:rsidRPr="00FD783B">
        <w:t>a</w:t>
      </w:r>
      <w:r w:rsidRPr="00FD783B">
        <w:t>pproach. J. Am. Ceram. Soc. 92, 1428-1434.</w:t>
      </w:r>
      <w:r w:rsidR="0047335F" w:rsidRPr="00FD783B">
        <w:t xml:space="preserve"> https://doi.org/10.1111/j.1551-2916.2009.03012.x.</w:t>
      </w:r>
    </w:p>
    <w:p w14:paraId="068A5920" w14:textId="04EEFE77" w:rsidR="000D7881" w:rsidRPr="00FD783B" w:rsidRDefault="000D7881" w:rsidP="00623B10">
      <w:pPr>
        <w:pStyle w:val="EndNoteBibliography"/>
        <w:snapToGrid w:val="0"/>
        <w:spacing w:line="480" w:lineRule="auto"/>
        <w:ind w:left="450" w:hanging="450"/>
      </w:pPr>
      <w:r w:rsidRPr="00FD783B">
        <w:t>Yang, K., Zhu, Y., Shan, R., Shao, Y., Tian, C., 2017. Heavy metals in sludge during anaerobic sanitary landfill: Speciation transformation and phytotoxicity. J Environ Manage. 189, 58-66.</w:t>
      </w:r>
      <w:r w:rsidR="0047335F" w:rsidRPr="00FD783B">
        <w:t xml:space="preserve"> https://doi.org/10.1016/j.jenvman.2016.12.019.</w:t>
      </w:r>
    </w:p>
    <w:p w14:paraId="0489E7D0" w14:textId="56106B82" w:rsidR="000D7881" w:rsidRPr="00FD783B" w:rsidRDefault="000D7881" w:rsidP="00623B10">
      <w:pPr>
        <w:pStyle w:val="EndNoteBibliography"/>
        <w:snapToGrid w:val="0"/>
        <w:spacing w:line="480" w:lineRule="auto"/>
        <w:ind w:left="450" w:hanging="450"/>
      </w:pPr>
      <w:r w:rsidRPr="00FD783B">
        <w:t>Yang, Y., Zhao, Y.Q., Kearney, P., 2008. Influence of ageing on the structure and phosphate adsorption capacity of dewatered alum sludge. Chem. Eng. J. 145, 276-284.</w:t>
      </w:r>
      <w:r w:rsidR="00DB70E9" w:rsidRPr="00FD783B">
        <w:t xml:space="preserve"> https://doi.org/10.1016/j.cej.2008.04.026.</w:t>
      </w:r>
    </w:p>
    <w:p w14:paraId="398EB91B" w14:textId="3DEEA7E5" w:rsidR="000D7881" w:rsidRPr="00FD783B" w:rsidRDefault="000D7881" w:rsidP="00623B10">
      <w:pPr>
        <w:pStyle w:val="EndNoteBibliography"/>
        <w:snapToGrid w:val="0"/>
        <w:spacing w:line="480" w:lineRule="auto"/>
        <w:ind w:left="450" w:hanging="450"/>
      </w:pPr>
      <w:r w:rsidRPr="00FD783B">
        <w:t>Yu, B., Luo, J., Xie, H., Yang, H., Chen, S., Liu, J., Zhang, R., Li, Y.Y., 2021. Species, fractions, and characterization of phosphorus in sewage sludge: A critical review from the perspective of recovery. Sci. Total Environ. 786, 147437.</w:t>
      </w:r>
      <w:r w:rsidR="00DB70E9" w:rsidRPr="00FD783B">
        <w:t xml:space="preserve"> https://doi.org/10.1016/j.scitotenv.2021.147437.</w:t>
      </w:r>
    </w:p>
    <w:p w14:paraId="16C8CFD3" w14:textId="0917827B" w:rsidR="009636FF" w:rsidRPr="00FD783B" w:rsidRDefault="009636FF" w:rsidP="00623B10">
      <w:pPr>
        <w:pStyle w:val="EndNoteBibliography"/>
        <w:snapToGrid w:val="0"/>
        <w:spacing w:line="480" w:lineRule="auto"/>
        <w:ind w:left="450" w:hanging="450"/>
      </w:pPr>
      <w:r w:rsidRPr="00FD783B">
        <w:t xml:space="preserve">Zhang, J., Xue, Y., Eshtiaghi, N., Dai, X., Tao, W., Li, Z., 2017a. Evaluation of thermal </w:t>
      </w:r>
      <w:r w:rsidRPr="00FD783B">
        <w:lastRenderedPageBreak/>
        <w:t>hydrolysis efficiency of mechanically dewatered sewage sludge via rheological measurement. Water Res. 116, 34-43.</w:t>
      </w:r>
      <w:r w:rsidR="00DB70E9" w:rsidRPr="00FD783B">
        <w:t xml:space="preserve"> https://doi.org/10.1016/j.watres.2017.03.020.</w:t>
      </w:r>
    </w:p>
    <w:p w14:paraId="33601089" w14:textId="0820BA13" w:rsidR="000D7881" w:rsidRPr="00FD783B" w:rsidRDefault="000D7881" w:rsidP="00623B10">
      <w:pPr>
        <w:pStyle w:val="EndNoteBibliography"/>
        <w:snapToGrid w:val="0"/>
        <w:spacing w:line="480" w:lineRule="auto"/>
        <w:ind w:left="450" w:hanging="450"/>
      </w:pPr>
      <w:r w:rsidRPr="00FD783B">
        <w:t>Zhang, Q., Hu, J., Lee, D.J., Chang, Y., Lee, Y.J., 2017</w:t>
      </w:r>
      <w:r w:rsidR="00CD5BDB" w:rsidRPr="00FD783B">
        <w:t>b</w:t>
      </w:r>
      <w:r w:rsidRPr="00FD783B">
        <w:t>. Sludge treatment: Current research trends. Bioresour. Technol. 243, 1159-1172.</w:t>
      </w:r>
      <w:r w:rsidR="00DB70E9" w:rsidRPr="00FD783B">
        <w:t xml:space="preserve"> https://doi.org/10.1016/j.biortech.2017.07.070.</w:t>
      </w:r>
    </w:p>
    <w:p w14:paraId="07671570" w14:textId="5BD48108" w:rsidR="000D7881" w:rsidRPr="00FD783B" w:rsidRDefault="000D7881" w:rsidP="00623B10">
      <w:pPr>
        <w:pStyle w:val="EndNoteBibliography"/>
        <w:snapToGrid w:val="0"/>
        <w:spacing w:line="480" w:lineRule="auto"/>
        <w:ind w:left="450" w:hanging="450"/>
      </w:pPr>
      <w:r w:rsidRPr="00FD783B">
        <w:t>Zhang, Q., Yang, W., Ngo, H., Guo, W., Jin, P., Dzakpasu, M., Yang, S., Wang, Q., Wang, X., Ao, D., 2016a. Current status of urban wastewater treatment plants in China. Environ. Int. 92, 11-22.</w:t>
      </w:r>
      <w:r w:rsidR="00DB70E9" w:rsidRPr="00FD783B">
        <w:t xml:space="preserve"> https://doi.org/10.1016/j.envint.2016.03.024.</w:t>
      </w:r>
    </w:p>
    <w:p w14:paraId="18AE2FF9" w14:textId="06138CED" w:rsidR="000D7881" w:rsidRPr="00FD783B" w:rsidRDefault="000D7881" w:rsidP="00623B10">
      <w:pPr>
        <w:pStyle w:val="EndNoteBibliography"/>
        <w:snapToGrid w:val="0"/>
        <w:spacing w:line="480" w:lineRule="auto"/>
        <w:ind w:left="450" w:hanging="450"/>
      </w:pPr>
      <w:r w:rsidRPr="00FD783B">
        <w:t>Zhang, Y.M., Jia, L.T., Mei, H., Cui, Q., Zhang, P.G., Sun, Z.M., 2016b. Fabrication, microstructure and properties of bricks fired from lake sediment, cinder and sewage sludge. Constr Build Mater. 121, 154-160.</w:t>
      </w:r>
      <w:r w:rsidR="00DB70E9" w:rsidRPr="00FD783B">
        <w:t xml:space="preserve"> https://doi.org/10.1016/j.conbuildmat.2016.05.155.</w:t>
      </w:r>
    </w:p>
    <w:p w14:paraId="6D732577" w14:textId="618DFCD9" w:rsidR="000D7881" w:rsidRPr="00FD783B" w:rsidRDefault="000D7881" w:rsidP="00623B10">
      <w:pPr>
        <w:pStyle w:val="EndNoteBibliography"/>
        <w:snapToGrid w:val="0"/>
        <w:spacing w:line="480" w:lineRule="auto"/>
        <w:ind w:left="450" w:hanging="450"/>
      </w:pPr>
      <w:r w:rsidRPr="00FD783B">
        <w:t>Zhou, G.J., Lin, L., Li, X.Y., Leung, K.M.Y., 2020. Removal of emerging contaminants from wastewater during chemically enhanced primary sedimentation and acidogenic sludge fermentation. Water Res. 175, 115646.</w:t>
      </w:r>
      <w:r w:rsidR="00DB70E9" w:rsidRPr="00FD783B">
        <w:t xml:space="preserve"> https://doi.org/10.1016/j.watres.2020.115646.</w:t>
      </w:r>
    </w:p>
    <w:p w14:paraId="7933E7AB" w14:textId="78866F9E" w:rsidR="00AE3F41" w:rsidRDefault="000D7881" w:rsidP="00AE0958">
      <w:pPr>
        <w:pStyle w:val="EndNoteBibliography"/>
        <w:snapToGrid w:val="0"/>
        <w:spacing w:line="480" w:lineRule="auto"/>
        <w:ind w:left="450" w:hanging="450"/>
      </w:pPr>
      <w:r w:rsidRPr="00FD783B">
        <w:t xml:space="preserve">Zhou, H.M., Qiao, X.C., Yu, J.G., 2013. Influences of quartz and muscovite on the formation </w:t>
      </w:r>
      <w:bookmarkEnd w:id="127"/>
      <w:bookmarkEnd w:id="128"/>
      <w:r w:rsidR="00FE633C" w:rsidRPr="00FE633C">
        <w:t>of mullite from kaolinite. Appl. Clay Sci. 80-81, 176-181. https://doi.org/10.1016/j.clay.2013.04.004.</w:t>
      </w:r>
    </w:p>
    <w:p w14:paraId="0FA2B118" w14:textId="0BC43632" w:rsidR="00FE633C" w:rsidRDefault="0067174A" w:rsidP="0067174A">
      <w:pPr>
        <w:pStyle w:val="EndNoteBibliography"/>
        <w:snapToGrid w:val="0"/>
        <w:spacing w:line="480" w:lineRule="auto"/>
        <w:ind w:left="450" w:hanging="450"/>
      </w:pPr>
      <w:r w:rsidRPr="0067174A">
        <w:t>Zubair, M., Ramzani, P.M.A., Rasool, B., Khan, M.A., Akhtar, I., Turan, V., Tauqeer, H.M., Farhad, M., Khan, S.A., Iqbal, J., 2021. Efficacy of chitosan-coated textile waste biochar applied to Cd-polluted soil for reducing Cd mobility in soil and its distribution in moringa (Moringa oleifera L.). J. Environ. Manage. 284, 112047. https://doi.org/10.1016/j.jenvman.2021.112047.</w:t>
      </w:r>
    </w:p>
    <w:sectPr w:rsidR="00FE633C" w:rsidSect="00623B10">
      <w:footerReference w:type="default" r:id="rId20"/>
      <w:pgSz w:w="11906" w:h="16838"/>
      <w:pgMar w:top="1440" w:right="1440" w:bottom="1440" w:left="1440" w:header="851" w:footer="851"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4A950" w14:textId="77777777" w:rsidR="0055754C" w:rsidRDefault="0055754C">
      <w:r>
        <w:separator/>
      </w:r>
    </w:p>
  </w:endnote>
  <w:endnote w:type="continuationSeparator" w:id="0">
    <w:p w14:paraId="5D1F9928" w14:textId="77777777" w:rsidR="0055754C" w:rsidRDefault="0055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vOT863180fb">
    <w:altName w:val="Times New Roman"/>
    <w:panose1 w:val="00000000000000000000"/>
    <w:charset w:val="00"/>
    <w:family w:val="roman"/>
    <w:notTrueType/>
    <w:pitch w:val="default"/>
  </w:font>
  <w:font w:name="AdvOTb92eb7df.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仿宋_GB2312">
    <w:altName w:val="仿宋"/>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Italic">
    <w:altName w:val="微软雅黑"/>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490265"/>
      <w:docPartObj>
        <w:docPartGallery w:val="Page Numbers (Bottom of Page)"/>
        <w:docPartUnique/>
      </w:docPartObj>
    </w:sdtPr>
    <w:sdtContent>
      <w:p w14:paraId="4648E12E" w14:textId="77777777" w:rsidR="00D64441" w:rsidRDefault="00D64441">
        <w:pPr>
          <w:pStyle w:val="a5"/>
          <w:jc w:val="center"/>
        </w:pPr>
        <w:r>
          <w:fldChar w:fldCharType="begin"/>
        </w:r>
        <w:r>
          <w:instrText>PAGE   \* MERGEFORMAT</w:instrText>
        </w:r>
        <w:r>
          <w:fldChar w:fldCharType="separate"/>
        </w:r>
        <w:r>
          <w:rPr>
            <w:lang w:val="zh-CN"/>
          </w:rPr>
          <w:t>2</w:t>
        </w:r>
        <w:r>
          <w:fldChar w:fldCharType="end"/>
        </w:r>
      </w:p>
    </w:sdtContent>
  </w:sdt>
  <w:p w14:paraId="74F379AD" w14:textId="77777777" w:rsidR="00D64441" w:rsidRDefault="00D6444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833083"/>
      <w:docPartObj>
        <w:docPartGallery w:val="Page Numbers (Bottom of Page)"/>
        <w:docPartUnique/>
      </w:docPartObj>
    </w:sdtPr>
    <w:sdtEndPr>
      <w:rPr>
        <w:sz w:val="20"/>
      </w:rPr>
    </w:sdtEndPr>
    <w:sdtContent>
      <w:p w14:paraId="29A6AA28" w14:textId="77777777" w:rsidR="00D64441" w:rsidRPr="00CF44DC" w:rsidRDefault="00D64441">
        <w:pPr>
          <w:pStyle w:val="a5"/>
          <w:jc w:val="center"/>
          <w:rPr>
            <w:sz w:val="20"/>
          </w:rPr>
        </w:pPr>
        <w:r w:rsidRPr="00CF44DC">
          <w:rPr>
            <w:sz w:val="20"/>
          </w:rPr>
          <w:fldChar w:fldCharType="begin"/>
        </w:r>
        <w:r w:rsidRPr="00CF44DC">
          <w:rPr>
            <w:sz w:val="20"/>
          </w:rPr>
          <w:instrText>PAGE   \* MERGEFORMAT</w:instrText>
        </w:r>
        <w:r w:rsidRPr="00CF44DC">
          <w:rPr>
            <w:sz w:val="20"/>
          </w:rPr>
          <w:fldChar w:fldCharType="separate"/>
        </w:r>
        <w:r w:rsidRPr="008A7ADA">
          <w:rPr>
            <w:noProof/>
            <w:sz w:val="20"/>
            <w:lang w:val="zh-CN"/>
          </w:rPr>
          <w:t>6</w:t>
        </w:r>
        <w:r w:rsidRPr="00CF44DC">
          <w:rPr>
            <w:sz w:val="20"/>
          </w:rPr>
          <w:fldChar w:fldCharType="end"/>
        </w:r>
      </w:p>
    </w:sdtContent>
  </w:sdt>
  <w:p w14:paraId="79DA9C64" w14:textId="77777777" w:rsidR="00D64441" w:rsidRDefault="00D644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FE2A0" w14:textId="77777777" w:rsidR="0055754C" w:rsidRDefault="0055754C">
      <w:r>
        <w:separator/>
      </w:r>
    </w:p>
  </w:footnote>
  <w:footnote w:type="continuationSeparator" w:id="0">
    <w:p w14:paraId="1D308CED" w14:textId="77777777" w:rsidR="0055754C" w:rsidRDefault="00557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971"/>
    <w:multiLevelType w:val="multilevel"/>
    <w:tmpl w:val="7936A334"/>
    <w:lvl w:ilvl="0">
      <w:start w:val="1"/>
      <w:numFmt w:val="decimal"/>
      <w:lvlText w:val="%1."/>
      <w:lvlJc w:val="left"/>
      <w:pPr>
        <w:ind w:left="360" w:hanging="360"/>
      </w:pPr>
      <w:rPr>
        <w:rFonts w:hint="default"/>
        <w:b/>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C3749E4"/>
    <w:multiLevelType w:val="hybridMultilevel"/>
    <w:tmpl w:val="CD3C109E"/>
    <w:lvl w:ilvl="0" w:tplc="0409000B">
      <w:start w:val="1"/>
      <w:numFmt w:val="bullet"/>
      <w:lvlText w:val=""/>
      <w:lvlJc w:val="left"/>
      <w:pPr>
        <w:ind w:left="9027" w:hanging="360"/>
      </w:pPr>
      <w:rPr>
        <w:rFonts w:ascii="Wingdings" w:hAnsi="Wingdings" w:hint="default"/>
      </w:rPr>
    </w:lvl>
    <w:lvl w:ilvl="1" w:tplc="04090003" w:tentative="1">
      <w:start w:val="1"/>
      <w:numFmt w:val="bullet"/>
      <w:lvlText w:val="o"/>
      <w:lvlJc w:val="left"/>
      <w:pPr>
        <w:ind w:left="9747" w:hanging="360"/>
      </w:pPr>
      <w:rPr>
        <w:rFonts w:ascii="Courier New" w:hAnsi="Courier New" w:cs="Courier New" w:hint="default"/>
      </w:rPr>
    </w:lvl>
    <w:lvl w:ilvl="2" w:tplc="04090005" w:tentative="1">
      <w:start w:val="1"/>
      <w:numFmt w:val="bullet"/>
      <w:lvlText w:val=""/>
      <w:lvlJc w:val="left"/>
      <w:pPr>
        <w:ind w:left="10467" w:hanging="360"/>
      </w:pPr>
      <w:rPr>
        <w:rFonts w:ascii="Wingdings" w:hAnsi="Wingdings" w:hint="default"/>
      </w:rPr>
    </w:lvl>
    <w:lvl w:ilvl="3" w:tplc="04090001" w:tentative="1">
      <w:start w:val="1"/>
      <w:numFmt w:val="bullet"/>
      <w:lvlText w:val=""/>
      <w:lvlJc w:val="left"/>
      <w:pPr>
        <w:ind w:left="11187" w:hanging="360"/>
      </w:pPr>
      <w:rPr>
        <w:rFonts w:ascii="Symbol" w:hAnsi="Symbol" w:hint="default"/>
      </w:rPr>
    </w:lvl>
    <w:lvl w:ilvl="4" w:tplc="04090003" w:tentative="1">
      <w:start w:val="1"/>
      <w:numFmt w:val="bullet"/>
      <w:lvlText w:val="o"/>
      <w:lvlJc w:val="left"/>
      <w:pPr>
        <w:ind w:left="11907" w:hanging="360"/>
      </w:pPr>
      <w:rPr>
        <w:rFonts w:ascii="Courier New" w:hAnsi="Courier New" w:cs="Courier New" w:hint="default"/>
      </w:rPr>
    </w:lvl>
    <w:lvl w:ilvl="5" w:tplc="04090005" w:tentative="1">
      <w:start w:val="1"/>
      <w:numFmt w:val="bullet"/>
      <w:lvlText w:val=""/>
      <w:lvlJc w:val="left"/>
      <w:pPr>
        <w:ind w:left="12627" w:hanging="360"/>
      </w:pPr>
      <w:rPr>
        <w:rFonts w:ascii="Wingdings" w:hAnsi="Wingdings" w:hint="default"/>
      </w:rPr>
    </w:lvl>
    <w:lvl w:ilvl="6" w:tplc="04090001" w:tentative="1">
      <w:start w:val="1"/>
      <w:numFmt w:val="bullet"/>
      <w:lvlText w:val=""/>
      <w:lvlJc w:val="left"/>
      <w:pPr>
        <w:ind w:left="13347" w:hanging="360"/>
      </w:pPr>
      <w:rPr>
        <w:rFonts w:ascii="Symbol" w:hAnsi="Symbol" w:hint="default"/>
      </w:rPr>
    </w:lvl>
    <w:lvl w:ilvl="7" w:tplc="04090003" w:tentative="1">
      <w:start w:val="1"/>
      <w:numFmt w:val="bullet"/>
      <w:lvlText w:val="o"/>
      <w:lvlJc w:val="left"/>
      <w:pPr>
        <w:ind w:left="14067" w:hanging="360"/>
      </w:pPr>
      <w:rPr>
        <w:rFonts w:ascii="Courier New" w:hAnsi="Courier New" w:cs="Courier New" w:hint="default"/>
      </w:rPr>
    </w:lvl>
    <w:lvl w:ilvl="8" w:tplc="04090005" w:tentative="1">
      <w:start w:val="1"/>
      <w:numFmt w:val="bullet"/>
      <w:lvlText w:val=""/>
      <w:lvlJc w:val="left"/>
      <w:pPr>
        <w:ind w:left="14787" w:hanging="360"/>
      </w:pPr>
      <w:rPr>
        <w:rFonts w:ascii="Wingdings" w:hAnsi="Wingdings" w:hint="default"/>
      </w:rPr>
    </w:lvl>
  </w:abstractNum>
  <w:abstractNum w:abstractNumId="2" w15:restartNumberingAfterBreak="0">
    <w:nsid w:val="1B8E5727"/>
    <w:multiLevelType w:val="multilevel"/>
    <w:tmpl w:val="1B8E5727"/>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CCB3BB1"/>
    <w:multiLevelType w:val="hybridMultilevel"/>
    <w:tmpl w:val="6B003BFE"/>
    <w:lvl w:ilvl="0" w:tplc="1B120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70C2938"/>
    <w:multiLevelType w:val="hybridMultilevel"/>
    <w:tmpl w:val="FCC0E6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9005A1"/>
    <w:multiLevelType w:val="hybridMultilevel"/>
    <w:tmpl w:val="2068AAF4"/>
    <w:lvl w:ilvl="0" w:tplc="0F5E00A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D407F0F"/>
    <w:multiLevelType w:val="hybridMultilevel"/>
    <w:tmpl w:val="291A1A7C"/>
    <w:lvl w:ilvl="0" w:tplc="CEA40A6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EB0464"/>
    <w:multiLevelType w:val="hybridMultilevel"/>
    <w:tmpl w:val="AD4008B8"/>
    <w:lvl w:ilvl="0" w:tplc="78B64E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BE5FD7"/>
    <w:multiLevelType w:val="multilevel"/>
    <w:tmpl w:val="7936A334"/>
    <w:lvl w:ilvl="0">
      <w:start w:val="1"/>
      <w:numFmt w:val="decimal"/>
      <w:lvlText w:val="%1."/>
      <w:lvlJc w:val="left"/>
      <w:pPr>
        <w:ind w:left="360" w:hanging="360"/>
      </w:pPr>
      <w:rPr>
        <w:rFonts w:hint="default"/>
        <w:b/>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D8A7A71"/>
    <w:multiLevelType w:val="multilevel"/>
    <w:tmpl w:val="7936A334"/>
    <w:lvl w:ilvl="0">
      <w:start w:val="1"/>
      <w:numFmt w:val="decimal"/>
      <w:lvlText w:val="%1."/>
      <w:lvlJc w:val="left"/>
      <w:pPr>
        <w:ind w:left="360" w:hanging="360"/>
      </w:pPr>
      <w:rPr>
        <w:rFonts w:hint="default"/>
        <w:b/>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4F1665A"/>
    <w:multiLevelType w:val="hybridMultilevel"/>
    <w:tmpl w:val="4F12FDAC"/>
    <w:lvl w:ilvl="0" w:tplc="D6806F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E2750"/>
    <w:multiLevelType w:val="hybridMultilevel"/>
    <w:tmpl w:val="CE5067DA"/>
    <w:lvl w:ilvl="0" w:tplc="DCF064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0381A1A"/>
    <w:multiLevelType w:val="multilevel"/>
    <w:tmpl w:val="360E3E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06306B5"/>
    <w:multiLevelType w:val="multilevel"/>
    <w:tmpl w:val="FDA8A3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5263646"/>
    <w:multiLevelType w:val="hybridMultilevel"/>
    <w:tmpl w:val="0146505E"/>
    <w:lvl w:ilvl="0" w:tplc="2198280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3117BD"/>
    <w:multiLevelType w:val="multilevel"/>
    <w:tmpl w:val="FDA8A3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1121998"/>
    <w:multiLevelType w:val="hybridMultilevel"/>
    <w:tmpl w:val="8042E762"/>
    <w:lvl w:ilvl="0" w:tplc="BA804FF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6D693F"/>
    <w:multiLevelType w:val="hybridMultilevel"/>
    <w:tmpl w:val="AE4AD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314551">
    <w:abstractNumId w:val="13"/>
  </w:num>
  <w:num w:numId="2" w16cid:durableId="1120301649">
    <w:abstractNumId w:val="5"/>
  </w:num>
  <w:num w:numId="3" w16cid:durableId="1633513844">
    <w:abstractNumId w:val="3"/>
  </w:num>
  <w:num w:numId="4" w16cid:durableId="719397578">
    <w:abstractNumId w:val="11"/>
  </w:num>
  <w:num w:numId="5" w16cid:durableId="889657063">
    <w:abstractNumId w:val="2"/>
  </w:num>
  <w:num w:numId="6" w16cid:durableId="1812136785">
    <w:abstractNumId w:val="15"/>
  </w:num>
  <w:num w:numId="7" w16cid:durableId="627977190">
    <w:abstractNumId w:val="12"/>
  </w:num>
  <w:num w:numId="8" w16cid:durableId="1230533298">
    <w:abstractNumId w:val="1"/>
  </w:num>
  <w:num w:numId="9" w16cid:durableId="1136872540">
    <w:abstractNumId w:val="14"/>
  </w:num>
  <w:num w:numId="10" w16cid:durableId="1949267636">
    <w:abstractNumId w:val="9"/>
  </w:num>
  <w:num w:numId="11" w16cid:durableId="1611625732">
    <w:abstractNumId w:val="8"/>
  </w:num>
  <w:num w:numId="12" w16cid:durableId="1520117058">
    <w:abstractNumId w:val="0"/>
  </w:num>
  <w:num w:numId="13" w16cid:durableId="1547057802">
    <w:abstractNumId w:val="10"/>
  </w:num>
  <w:num w:numId="14" w16cid:durableId="1003246097">
    <w:abstractNumId w:val="7"/>
  </w:num>
  <w:num w:numId="15" w16cid:durableId="1994529555">
    <w:abstractNumId w:val="6"/>
  </w:num>
  <w:num w:numId="16" w16cid:durableId="219899375">
    <w:abstractNumId w:val="16"/>
  </w:num>
  <w:num w:numId="17" w16cid:durableId="875654019">
    <w:abstractNumId w:val="17"/>
  </w:num>
  <w:num w:numId="18" w16cid:durableId="11438915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3MDezMDYyNzU0MjdX0lEKTi0uzszPAykwrAUA7avcvywAAAA="/>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a0xsrp9v0vw1e5z9uxwppgtspadx2revet&quot;&gt;My EndNote Library-Converted&lt;record-ids&gt;&lt;item&gt;926&lt;/item&gt;&lt;/record-ids&gt;&lt;/item&gt;&lt;/Libraries&gt;"/>
  </w:docVars>
  <w:rsids>
    <w:rsidRoot w:val="000D7881"/>
    <w:rsid w:val="00001E5E"/>
    <w:rsid w:val="00004CFB"/>
    <w:rsid w:val="00011799"/>
    <w:rsid w:val="000205F1"/>
    <w:rsid w:val="0003077F"/>
    <w:rsid w:val="00030EDA"/>
    <w:rsid w:val="0004513A"/>
    <w:rsid w:val="000460A6"/>
    <w:rsid w:val="00052266"/>
    <w:rsid w:val="0006007A"/>
    <w:rsid w:val="00062443"/>
    <w:rsid w:val="000629EE"/>
    <w:rsid w:val="00074217"/>
    <w:rsid w:val="00077E45"/>
    <w:rsid w:val="000909E6"/>
    <w:rsid w:val="0009503F"/>
    <w:rsid w:val="000A1695"/>
    <w:rsid w:val="000C38F6"/>
    <w:rsid w:val="000D0897"/>
    <w:rsid w:val="000D26CD"/>
    <w:rsid w:val="000D3823"/>
    <w:rsid w:val="000D47B7"/>
    <w:rsid w:val="000D7881"/>
    <w:rsid w:val="000E38A6"/>
    <w:rsid w:val="000E3B0F"/>
    <w:rsid w:val="000E4C60"/>
    <w:rsid w:val="000F0DF3"/>
    <w:rsid w:val="00100312"/>
    <w:rsid w:val="00105EF1"/>
    <w:rsid w:val="001165E4"/>
    <w:rsid w:val="001175B2"/>
    <w:rsid w:val="001232FE"/>
    <w:rsid w:val="00126050"/>
    <w:rsid w:val="001267CA"/>
    <w:rsid w:val="00141CC0"/>
    <w:rsid w:val="001478E4"/>
    <w:rsid w:val="001517D0"/>
    <w:rsid w:val="00152D90"/>
    <w:rsid w:val="0015379F"/>
    <w:rsid w:val="00161029"/>
    <w:rsid w:val="00163C17"/>
    <w:rsid w:val="00164AB8"/>
    <w:rsid w:val="00167683"/>
    <w:rsid w:val="001A328B"/>
    <w:rsid w:val="001A7626"/>
    <w:rsid w:val="001B7262"/>
    <w:rsid w:val="001C6D71"/>
    <w:rsid w:val="001D57BD"/>
    <w:rsid w:val="001E0C6C"/>
    <w:rsid w:val="001E4306"/>
    <w:rsid w:val="001E5364"/>
    <w:rsid w:val="001E5AEA"/>
    <w:rsid w:val="001F3287"/>
    <w:rsid w:val="00212E51"/>
    <w:rsid w:val="00213743"/>
    <w:rsid w:val="0021475D"/>
    <w:rsid w:val="00226C7D"/>
    <w:rsid w:val="00236BD5"/>
    <w:rsid w:val="00237BF6"/>
    <w:rsid w:val="0024173C"/>
    <w:rsid w:val="00252B6D"/>
    <w:rsid w:val="002552B7"/>
    <w:rsid w:val="0026026C"/>
    <w:rsid w:val="002631B4"/>
    <w:rsid w:val="00267C7F"/>
    <w:rsid w:val="00276190"/>
    <w:rsid w:val="002904DC"/>
    <w:rsid w:val="00294357"/>
    <w:rsid w:val="002A4AB5"/>
    <w:rsid w:val="002B194B"/>
    <w:rsid w:val="002D2BF2"/>
    <w:rsid w:val="002E0302"/>
    <w:rsid w:val="0030170A"/>
    <w:rsid w:val="0031415A"/>
    <w:rsid w:val="003205C6"/>
    <w:rsid w:val="003305DB"/>
    <w:rsid w:val="00331613"/>
    <w:rsid w:val="0034203C"/>
    <w:rsid w:val="0034500F"/>
    <w:rsid w:val="003619B9"/>
    <w:rsid w:val="003629C9"/>
    <w:rsid w:val="00371676"/>
    <w:rsid w:val="003729AA"/>
    <w:rsid w:val="00383E0F"/>
    <w:rsid w:val="00385A5F"/>
    <w:rsid w:val="00390181"/>
    <w:rsid w:val="003929DE"/>
    <w:rsid w:val="003A19E1"/>
    <w:rsid w:val="003B6633"/>
    <w:rsid w:val="003C142D"/>
    <w:rsid w:val="003C307E"/>
    <w:rsid w:val="003C7E3A"/>
    <w:rsid w:val="003D174B"/>
    <w:rsid w:val="003D1E3A"/>
    <w:rsid w:val="003E64D9"/>
    <w:rsid w:val="003F0204"/>
    <w:rsid w:val="003F2AB2"/>
    <w:rsid w:val="004006FA"/>
    <w:rsid w:val="00435D0C"/>
    <w:rsid w:val="00435E50"/>
    <w:rsid w:val="004443FD"/>
    <w:rsid w:val="00447648"/>
    <w:rsid w:val="004514B3"/>
    <w:rsid w:val="004566C9"/>
    <w:rsid w:val="004631EE"/>
    <w:rsid w:val="0047335F"/>
    <w:rsid w:val="00487012"/>
    <w:rsid w:val="00490817"/>
    <w:rsid w:val="004A5244"/>
    <w:rsid w:val="004B317D"/>
    <w:rsid w:val="004C26C5"/>
    <w:rsid w:val="004D19FC"/>
    <w:rsid w:val="004D1DAE"/>
    <w:rsid w:val="004D25BF"/>
    <w:rsid w:val="004D2EA2"/>
    <w:rsid w:val="004D3A55"/>
    <w:rsid w:val="004D5AEC"/>
    <w:rsid w:val="004E42F5"/>
    <w:rsid w:val="004E7CB0"/>
    <w:rsid w:val="004F346A"/>
    <w:rsid w:val="004F587B"/>
    <w:rsid w:val="004F5DC0"/>
    <w:rsid w:val="00501606"/>
    <w:rsid w:val="00504E25"/>
    <w:rsid w:val="005225D5"/>
    <w:rsid w:val="00526E7B"/>
    <w:rsid w:val="00530480"/>
    <w:rsid w:val="00536377"/>
    <w:rsid w:val="00536622"/>
    <w:rsid w:val="00544F61"/>
    <w:rsid w:val="0055118C"/>
    <w:rsid w:val="005528EA"/>
    <w:rsid w:val="0055754C"/>
    <w:rsid w:val="005611C2"/>
    <w:rsid w:val="005749A6"/>
    <w:rsid w:val="0057792B"/>
    <w:rsid w:val="00580263"/>
    <w:rsid w:val="00584210"/>
    <w:rsid w:val="005856D8"/>
    <w:rsid w:val="00586F38"/>
    <w:rsid w:val="005A024F"/>
    <w:rsid w:val="005A0662"/>
    <w:rsid w:val="005A2E05"/>
    <w:rsid w:val="005B1FA7"/>
    <w:rsid w:val="005B2F4B"/>
    <w:rsid w:val="005B32A8"/>
    <w:rsid w:val="005C0861"/>
    <w:rsid w:val="005E0C03"/>
    <w:rsid w:val="005E1EC5"/>
    <w:rsid w:val="005E238D"/>
    <w:rsid w:val="005E4BD6"/>
    <w:rsid w:val="005E6E08"/>
    <w:rsid w:val="005E7FB7"/>
    <w:rsid w:val="005F007F"/>
    <w:rsid w:val="005F441C"/>
    <w:rsid w:val="005F5F14"/>
    <w:rsid w:val="0060072B"/>
    <w:rsid w:val="0061639A"/>
    <w:rsid w:val="00623B10"/>
    <w:rsid w:val="0062608B"/>
    <w:rsid w:val="006268BD"/>
    <w:rsid w:val="00640CB3"/>
    <w:rsid w:val="0064616B"/>
    <w:rsid w:val="00647DC0"/>
    <w:rsid w:val="00654BB4"/>
    <w:rsid w:val="0067174A"/>
    <w:rsid w:val="0067415A"/>
    <w:rsid w:val="00686896"/>
    <w:rsid w:val="006B4FEF"/>
    <w:rsid w:val="006B5E03"/>
    <w:rsid w:val="007048D5"/>
    <w:rsid w:val="007149DA"/>
    <w:rsid w:val="00724215"/>
    <w:rsid w:val="007301C5"/>
    <w:rsid w:val="00730F2C"/>
    <w:rsid w:val="00731E13"/>
    <w:rsid w:val="00736838"/>
    <w:rsid w:val="007544F7"/>
    <w:rsid w:val="00771673"/>
    <w:rsid w:val="00777768"/>
    <w:rsid w:val="007834D5"/>
    <w:rsid w:val="00797910"/>
    <w:rsid w:val="007B4F78"/>
    <w:rsid w:val="007C7534"/>
    <w:rsid w:val="007D05AC"/>
    <w:rsid w:val="007D2ED5"/>
    <w:rsid w:val="007D5B99"/>
    <w:rsid w:val="007D7224"/>
    <w:rsid w:val="007E065A"/>
    <w:rsid w:val="007F01A9"/>
    <w:rsid w:val="007F10B4"/>
    <w:rsid w:val="007F17A1"/>
    <w:rsid w:val="007F2A2E"/>
    <w:rsid w:val="007F47E2"/>
    <w:rsid w:val="0081298A"/>
    <w:rsid w:val="00821807"/>
    <w:rsid w:val="00841EC7"/>
    <w:rsid w:val="00842A4D"/>
    <w:rsid w:val="00850FC0"/>
    <w:rsid w:val="00856D1A"/>
    <w:rsid w:val="0086035B"/>
    <w:rsid w:val="00864F01"/>
    <w:rsid w:val="00873791"/>
    <w:rsid w:val="00874567"/>
    <w:rsid w:val="0087597B"/>
    <w:rsid w:val="00884F5F"/>
    <w:rsid w:val="0089145A"/>
    <w:rsid w:val="008B3704"/>
    <w:rsid w:val="008B3EEC"/>
    <w:rsid w:val="008B6FA4"/>
    <w:rsid w:val="008C4C4D"/>
    <w:rsid w:val="008D2291"/>
    <w:rsid w:val="00902884"/>
    <w:rsid w:val="00937420"/>
    <w:rsid w:val="00942282"/>
    <w:rsid w:val="0094413A"/>
    <w:rsid w:val="00962E8D"/>
    <w:rsid w:val="009636FF"/>
    <w:rsid w:val="009716CD"/>
    <w:rsid w:val="009724E0"/>
    <w:rsid w:val="00973551"/>
    <w:rsid w:val="00973F05"/>
    <w:rsid w:val="00984B1F"/>
    <w:rsid w:val="00990144"/>
    <w:rsid w:val="0099471A"/>
    <w:rsid w:val="009A768B"/>
    <w:rsid w:val="009A78B2"/>
    <w:rsid w:val="009B3B2D"/>
    <w:rsid w:val="009B5C76"/>
    <w:rsid w:val="009C59F1"/>
    <w:rsid w:val="009D28C4"/>
    <w:rsid w:val="009D64E8"/>
    <w:rsid w:val="009E2635"/>
    <w:rsid w:val="009E5ADD"/>
    <w:rsid w:val="009F178B"/>
    <w:rsid w:val="009F2641"/>
    <w:rsid w:val="009F6F81"/>
    <w:rsid w:val="00A07306"/>
    <w:rsid w:val="00A13654"/>
    <w:rsid w:val="00A24351"/>
    <w:rsid w:val="00A317BD"/>
    <w:rsid w:val="00A32197"/>
    <w:rsid w:val="00A33657"/>
    <w:rsid w:val="00A37737"/>
    <w:rsid w:val="00A401AC"/>
    <w:rsid w:val="00A51471"/>
    <w:rsid w:val="00A5320F"/>
    <w:rsid w:val="00A55B05"/>
    <w:rsid w:val="00A6244A"/>
    <w:rsid w:val="00A8090B"/>
    <w:rsid w:val="00A92800"/>
    <w:rsid w:val="00AB7741"/>
    <w:rsid w:val="00AD1342"/>
    <w:rsid w:val="00AD5024"/>
    <w:rsid w:val="00AE0958"/>
    <w:rsid w:val="00AE3F41"/>
    <w:rsid w:val="00AF65E1"/>
    <w:rsid w:val="00B0384E"/>
    <w:rsid w:val="00B07A60"/>
    <w:rsid w:val="00B45671"/>
    <w:rsid w:val="00B500C6"/>
    <w:rsid w:val="00B51720"/>
    <w:rsid w:val="00B57C2A"/>
    <w:rsid w:val="00B636A1"/>
    <w:rsid w:val="00B75C93"/>
    <w:rsid w:val="00B83555"/>
    <w:rsid w:val="00B84C16"/>
    <w:rsid w:val="00B863C5"/>
    <w:rsid w:val="00B869BA"/>
    <w:rsid w:val="00B87E84"/>
    <w:rsid w:val="00B976D6"/>
    <w:rsid w:val="00BA26C0"/>
    <w:rsid w:val="00BB305E"/>
    <w:rsid w:val="00BB6630"/>
    <w:rsid w:val="00BC5F1F"/>
    <w:rsid w:val="00BD7EAD"/>
    <w:rsid w:val="00BE2F7B"/>
    <w:rsid w:val="00BF5811"/>
    <w:rsid w:val="00C04AC8"/>
    <w:rsid w:val="00C143DC"/>
    <w:rsid w:val="00C17439"/>
    <w:rsid w:val="00C47968"/>
    <w:rsid w:val="00C53EF2"/>
    <w:rsid w:val="00C73A3B"/>
    <w:rsid w:val="00C80BDF"/>
    <w:rsid w:val="00C830C0"/>
    <w:rsid w:val="00C83BD3"/>
    <w:rsid w:val="00C846B8"/>
    <w:rsid w:val="00C94B54"/>
    <w:rsid w:val="00CA2238"/>
    <w:rsid w:val="00CA2EEE"/>
    <w:rsid w:val="00CA638D"/>
    <w:rsid w:val="00CB5D08"/>
    <w:rsid w:val="00CB7E5E"/>
    <w:rsid w:val="00CC3E43"/>
    <w:rsid w:val="00CC5CB8"/>
    <w:rsid w:val="00CD14AE"/>
    <w:rsid w:val="00CD4453"/>
    <w:rsid w:val="00CD5BDB"/>
    <w:rsid w:val="00CD6D35"/>
    <w:rsid w:val="00CF16BC"/>
    <w:rsid w:val="00CF2E48"/>
    <w:rsid w:val="00D0495D"/>
    <w:rsid w:val="00D13CFD"/>
    <w:rsid w:val="00D162DF"/>
    <w:rsid w:val="00D22AC0"/>
    <w:rsid w:val="00D468E6"/>
    <w:rsid w:val="00D549A9"/>
    <w:rsid w:val="00D64441"/>
    <w:rsid w:val="00D65FA4"/>
    <w:rsid w:val="00D83FF5"/>
    <w:rsid w:val="00D96DC1"/>
    <w:rsid w:val="00DA57EA"/>
    <w:rsid w:val="00DB70E9"/>
    <w:rsid w:val="00DC3C19"/>
    <w:rsid w:val="00DC65B7"/>
    <w:rsid w:val="00DD1D3C"/>
    <w:rsid w:val="00DE1B97"/>
    <w:rsid w:val="00DE5B3F"/>
    <w:rsid w:val="00E05A00"/>
    <w:rsid w:val="00E11753"/>
    <w:rsid w:val="00E176EC"/>
    <w:rsid w:val="00E265A5"/>
    <w:rsid w:val="00E26776"/>
    <w:rsid w:val="00E426BB"/>
    <w:rsid w:val="00E4452C"/>
    <w:rsid w:val="00E46664"/>
    <w:rsid w:val="00E741BD"/>
    <w:rsid w:val="00E862FA"/>
    <w:rsid w:val="00EA5145"/>
    <w:rsid w:val="00EC6535"/>
    <w:rsid w:val="00EE0089"/>
    <w:rsid w:val="00EE7E86"/>
    <w:rsid w:val="00F26BCE"/>
    <w:rsid w:val="00F26C93"/>
    <w:rsid w:val="00F27A26"/>
    <w:rsid w:val="00F300AA"/>
    <w:rsid w:val="00F34C3D"/>
    <w:rsid w:val="00F37A37"/>
    <w:rsid w:val="00F40E24"/>
    <w:rsid w:val="00F44221"/>
    <w:rsid w:val="00F66160"/>
    <w:rsid w:val="00F9125C"/>
    <w:rsid w:val="00F97FC7"/>
    <w:rsid w:val="00FA588C"/>
    <w:rsid w:val="00FC7B17"/>
    <w:rsid w:val="00FD1AA2"/>
    <w:rsid w:val="00FD381A"/>
    <w:rsid w:val="00FD783B"/>
    <w:rsid w:val="00FE170D"/>
    <w:rsid w:val="00FE633C"/>
    <w:rsid w:val="00FF31E9"/>
    <w:rsid w:val="00FF65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DFEDE"/>
  <w15:chartTrackingRefBased/>
  <w15:docId w15:val="{40EE8452-57E5-4E12-A6EF-7B7AC456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kern w:val="2"/>
        <w:sz w:val="24"/>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7881"/>
    <w:pPr>
      <w:widowControl w:val="0"/>
      <w:spacing w:after="0" w:line="240" w:lineRule="auto"/>
      <w:jc w:val="both"/>
    </w:pPr>
    <w:rPr>
      <w:rFonts w:eastAsia="宋体" w:cs="Times New Roman"/>
      <w:szCs w:val="24"/>
    </w:rPr>
  </w:style>
  <w:style w:type="paragraph" w:styleId="1">
    <w:name w:val="heading 1"/>
    <w:basedOn w:val="a"/>
    <w:next w:val="a"/>
    <w:link w:val="10"/>
    <w:uiPriority w:val="9"/>
    <w:qFormat/>
    <w:rsid w:val="000D7881"/>
    <w:pPr>
      <w:keepNext/>
      <w:keepLines/>
      <w:spacing w:line="480" w:lineRule="auto"/>
      <w:outlineLvl w:val="0"/>
    </w:pPr>
    <w:rPr>
      <w:b/>
      <w:bCs/>
      <w:kern w:val="44"/>
      <w:sz w:val="28"/>
      <w:szCs w:val="44"/>
    </w:rPr>
  </w:style>
  <w:style w:type="paragraph" w:styleId="2">
    <w:name w:val="heading 2"/>
    <w:aliases w:val="三级标题"/>
    <w:basedOn w:val="a"/>
    <w:next w:val="a"/>
    <w:link w:val="20"/>
    <w:uiPriority w:val="9"/>
    <w:unhideWhenUsed/>
    <w:qFormat/>
    <w:rsid w:val="000D7881"/>
    <w:pPr>
      <w:keepNext/>
      <w:keepLines/>
      <w:spacing w:line="480" w:lineRule="auto"/>
      <w:outlineLvl w:val="1"/>
    </w:pPr>
    <w:rPr>
      <w:rFonts w:eastAsiaTheme="majorEastAsia" w:cstheme="majorBidi"/>
      <w:b/>
      <w:bCs/>
      <w:szCs w:val="32"/>
    </w:rPr>
  </w:style>
  <w:style w:type="paragraph" w:styleId="3">
    <w:name w:val="heading 3"/>
    <w:aliases w:val="小标题"/>
    <w:basedOn w:val="a"/>
    <w:next w:val="a"/>
    <w:link w:val="30"/>
    <w:uiPriority w:val="9"/>
    <w:unhideWhenUsed/>
    <w:qFormat/>
    <w:rsid w:val="000D7881"/>
    <w:pPr>
      <w:keepNext/>
      <w:keepLines/>
      <w:spacing w:line="480" w:lineRule="auto"/>
      <w:outlineLvl w:val="2"/>
    </w:pPr>
    <w:rPr>
      <w:b/>
      <w:bCs/>
      <w:szCs w:val="32"/>
    </w:rPr>
  </w:style>
  <w:style w:type="paragraph" w:styleId="4">
    <w:name w:val="heading 4"/>
    <w:basedOn w:val="a"/>
    <w:next w:val="a"/>
    <w:link w:val="40"/>
    <w:uiPriority w:val="9"/>
    <w:unhideWhenUsed/>
    <w:qFormat/>
    <w:rsid w:val="000D7881"/>
    <w:pPr>
      <w:keepNext/>
      <w:keepLines/>
      <w:spacing w:line="480" w:lineRule="auto"/>
      <w:jc w:val="left"/>
      <w:outlineLvl w:val="3"/>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D7881"/>
    <w:rPr>
      <w:rFonts w:eastAsia="宋体" w:cs="Times New Roman"/>
      <w:b/>
      <w:bCs/>
      <w:kern w:val="44"/>
      <w:sz w:val="28"/>
      <w:szCs w:val="44"/>
    </w:rPr>
  </w:style>
  <w:style w:type="character" w:customStyle="1" w:styleId="20">
    <w:name w:val="标题 2 字符"/>
    <w:aliases w:val="三级标题 字符"/>
    <w:basedOn w:val="a0"/>
    <w:link w:val="2"/>
    <w:uiPriority w:val="9"/>
    <w:rsid w:val="000D7881"/>
    <w:rPr>
      <w:rFonts w:eastAsiaTheme="majorEastAsia" w:cstheme="majorBidi"/>
      <w:b/>
      <w:bCs/>
      <w:szCs w:val="32"/>
    </w:rPr>
  </w:style>
  <w:style w:type="character" w:customStyle="1" w:styleId="30">
    <w:name w:val="标题 3 字符"/>
    <w:aliases w:val="小标题 字符"/>
    <w:basedOn w:val="a0"/>
    <w:link w:val="3"/>
    <w:uiPriority w:val="9"/>
    <w:rsid w:val="000D7881"/>
    <w:rPr>
      <w:rFonts w:eastAsia="宋体" w:cs="Times New Roman"/>
      <w:b/>
      <w:bCs/>
      <w:szCs w:val="32"/>
    </w:rPr>
  </w:style>
  <w:style w:type="character" w:customStyle="1" w:styleId="40">
    <w:name w:val="标题 4 字符"/>
    <w:basedOn w:val="a0"/>
    <w:link w:val="4"/>
    <w:uiPriority w:val="9"/>
    <w:rsid w:val="000D7881"/>
    <w:rPr>
      <w:rFonts w:eastAsiaTheme="majorEastAsia" w:cstheme="majorBidi"/>
      <w:b/>
      <w:bCs/>
      <w:szCs w:val="28"/>
    </w:rPr>
  </w:style>
  <w:style w:type="paragraph" w:styleId="a3">
    <w:name w:val="header"/>
    <w:basedOn w:val="a"/>
    <w:link w:val="a4"/>
    <w:uiPriority w:val="99"/>
    <w:unhideWhenUsed/>
    <w:rsid w:val="000D78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7881"/>
    <w:rPr>
      <w:rFonts w:eastAsia="宋体" w:cs="Times New Roman"/>
      <w:sz w:val="18"/>
      <w:szCs w:val="18"/>
    </w:rPr>
  </w:style>
  <w:style w:type="paragraph" w:styleId="a5">
    <w:name w:val="footer"/>
    <w:basedOn w:val="a"/>
    <w:link w:val="a6"/>
    <w:uiPriority w:val="99"/>
    <w:unhideWhenUsed/>
    <w:rsid w:val="000D7881"/>
    <w:pPr>
      <w:tabs>
        <w:tab w:val="center" w:pos="4153"/>
        <w:tab w:val="right" w:pos="8306"/>
      </w:tabs>
      <w:snapToGrid w:val="0"/>
      <w:jc w:val="left"/>
    </w:pPr>
    <w:rPr>
      <w:sz w:val="18"/>
      <w:szCs w:val="18"/>
    </w:rPr>
  </w:style>
  <w:style w:type="character" w:customStyle="1" w:styleId="a6">
    <w:name w:val="页脚 字符"/>
    <w:basedOn w:val="a0"/>
    <w:link w:val="a5"/>
    <w:uiPriority w:val="99"/>
    <w:rsid w:val="000D7881"/>
    <w:rPr>
      <w:rFonts w:eastAsia="宋体" w:cs="Times New Roman"/>
      <w:sz w:val="18"/>
      <w:szCs w:val="18"/>
    </w:rPr>
  </w:style>
  <w:style w:type="character" w:customStyle="1" w:styleId="fontstyle01">
    <w:name w:val="fontstyle01"/>
    <w:basedOn w:val="a0"/>
    <w:rsid w:val="000D7881"/>
    <w:rPr>
      <w:rFonts w:ascii="AdvOT863180fb" w:hAnsi="AdvOT863180fb" w:hint="default"/>
      <w:b w:val="0"/>
      <w:bCs w:val="0"/>
      <w:i w:val="0"/>
      <w:iCs w:val="0"/>
      <w:color w:val="000000"/>
      <w:sz w:val="16"/>
      <w:szCs w:val="16"/>
    </w:rPr>
  </w:style>
  <w:style w:type="character" w:customStyle="1" w:styleId="fontstyle21">
    <w:name w:val="fontstyle21"/>
    <w:basedOn w:val="a0"/>
    <w:rsid w:val="000D7881"/>
    <w:rPr>
      <w:rFonts w:ascii="AdvOTb92eb7df.I" w:hAnsi="AdvOTb92eb7df.I" w:hint="default"/>
      <w:b w:val="0"/>
      <w:bCs w:val="0"/>
      <w:i w:val="0"/>
      <w:iCs w:val="0"/>
      <w:color w:val="000000"/>
      <w:sz w:val="16"/>
      <w:szCs w:val="16"/>
    </w:rPr>
  </w:style>
  <w:style w:type="character" w:styleId="a7">
    <w:name w:val="Emphasis"/>
    <w:basedOn w:val="a0"/>
    <w:uiPriority w:val="20"/>
    <w:qFormat/>
    <w:rsid w:val="000D7881"/>
    <w:rPr>
      <w:i/>
      <w:iCs/>
    </w:rPr>
  </w:style>
  <w:style w:type="paragraph" w:customStyle="1" w:styleId="EndNoteBibliographyTitle">
    <w:name w:val="EndNote Bibliography Title"/>
    <w:basedOn w:val="a"/>
    <w:link w:val="EndNoteBibliographyTitle0"/>
    <w:rsid w:val="000D7881"/>
    <w:pPr>
      <w:jc w:val="center"/>
    </w:pPr>
    <w:rPr>
      <w:noProof/>
    </w:rPr>
  </w:style>
  <w:style w:type="character" w:customStyle="1" w:styleId="EndNoteBibliographyTitle0">
    <w:name w:val="EndNote Bibliography Title 字符"/>
    <w:basedOn w:val="a0"/>
    <w:link w:val="EndNoteBibliographyTitle"/>
    <w:rsid w:val="000D7881"/>
    <w:rPr>
      <w:rFonts w:eastAsia="宋体" w:cs="Times New Roman"/>
      <w:noProof/>
      <w:szCs w:val="24"/>
    </w:rPr>
  </w:style>
  <w:style w:type="paragraph" w:customStyle="1" w:styleId="EndNoteBibliography">
    <w:name w:val="EndNote Bibliography"/>
    <w:basedOn w:val="a"/>
    <w:link w:val="EndNoteBibliography0"/>
    <w:rsid w:val="000D7881"/>
    <w:rPr>
      <w:noProof/>
    </w:rPr>
  </w:style>
  <w:style w:type="character" w:customStyle="1" w:styleId="EndNoteBibliography0">
    <w:name w:val="EndNote Bibliography 字符"/>
    <w:basedOn w:val="a0"/>
    <w:link w:val="EndNoteBibliography"/>
    <w:rsid w:val="000D7881"/>
    <w:rPr>
      <w:rFonts w:eastAsia="宋体" w:cs="Times New Roman"/>
      <w:noProof/>
      <w:szCs w:val="24"/>
    </w:rPr>
  </w:style>
  <w:style w:type="paragraph" w:styleId="a8">
    <w:name w:val="List Paragraph"/>
    <w:basedOn w:val="a"/>
    <w:uiPriority w:val="34"/>
    <w:qFormat/>
    <w:rsid w:val="000D7881"/>
    <w:pPr>
      <w:ind w:firstLineChars="200" w:firstLine="420"/>
    </w:pPr>
  </w:style>
  <w:style w:type="character" w:styleId="a9">
    <w:name w:val="Placeholder Text"/>
    <w:basedOn w:val="a0"/>
    <w:uiPriority w:val="99"/>
    <w:semiHidden/>
    <w:rsid w:val="000D7881"/>
    <w:rPr>
      <w:color w:val="808080"/>
    </w:rPr>
  </w:style>
  <w:style w:type="character" w:customStyle="1" w:styleId="acopre">
    <w:name w:val="acopre"/>
    <w:basedOn w:val="a0"/>
    <w:rsid w:val="000D7881"/>
  </w:style>
  <w:style w:type="character" w:styleId="aa">
    <w:name w:val="Hyperlink"/>
    <w:basedOn w:val="a0"/>
    <w:uiPriority w:val="99"/>
    <w:unhideWhenUsed/>
    <w:rsid w:val="000D7881"/>
    <w:rPr>
      <w:color w:val="0000FF"/>
      <w:u w:val="single"/>
    </w:rPr>
  </w:style>
  <w:style w:type="character" w:styleId="ab">
    <w:name w:val="line number"/>
    <w:basedOn w:val="a0"/>
    <w:uiPriority w:val="99"/>
    <w:semiHidden/>
    <w:unhideWhenUsed/>
    <w:rsid w:val="000D7881"/>
  </w:style>
  <w:style w:type="paragraph" w:customStyle="1" w:styleId="HKU">
    <w:name w:val="HKU"/>
    <w:basedOn w:val="a"/>
    <w:link w:val="HKU0"/>
    <w:qFormat/>
    <w:rsid w:val="000D7881"/>
    <w:pPr>
      <w:adjustRightInd w:val="0"/>
      <w:snapToGrid w:val="0"/>
      <w:spacing w:line="480" w:lineRule="auto"/>
      <w:ind w:firstLine="567"/>
    </w:pPr>
    <w:rPr>
      <w:rFonts w:eastAsia="Times New Roman"/>
      <w:szCs w:val="22"/>
    </w:rPr>
  </w:style>
  <w:style w:type="character" w:customStyle="1" w:styleId="HKU0">
    <w:name w:val="HKU 字符"/>
    <w:basedOn w:val="a0"/>
    <w:link w:val="HKU"/>
    <w:rsid w:val="000D7881"/>
    <w:rPr>
      <w:rFonts w:eastAsia="Times New Roman" w:cs="Times New Roman"/>
    </w:rPr>
  </w:style>
  <w:style w:type="paragraph" w:styleId="ac">
    <w:name w:val="caption"/>
    <w:basedOn w:val="a"/>
    <w:next w:val="a"/>
    <w:uiPriority w:val="35"/>
    <w:unhideWhenUsed/>
    <w:qFormat/>
    <w:rsid w:val="000D7881"/>
    <w:pPr>
      <w:spacing w:line="480" w:lineRule="auto"/>
    </w:pPr>
    <w:rPr>
      <w:rFonts w:eastAsia="Times New Roman" w:cstheme="majorBidi"/>
      <w:szCs w:val="20"/>
    </w:rPr>
  </w:style>
  <w:style w:type="table" w:styleId="ad">
    <w:name w:val="Table Grid"/>
    <w:basedOn w:val="a1"/>
    <w:uiPriority w:val="39"/>
    <w:rsid w:val="000D7881"/>
    <w:pPr>
      <w:spacing w:after="0" w:line="240" w:lineRule="auto"/>
    </w:pPr>
    <w:rPr>
      <w:rFonts w:asciiTheme="minorHAnsi"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0D7881"/>
    <w:rPr>
      <w:rFonts w:ascii="Segoe UI" w:hAnsi="Segoe UI" w:cs="Segoe UI"/>
      <w:sz w:val="18"/>
      <w:szCs w:val="18"/>
    </w:rPr>
  </w:style>
  <w:style w:type="character" w:customStyle="1" w:styleId="af">
    <w:name w:val="批注框文本 字符"/>
    <w:basedOn w:val="a0"/>
    <w:link w:val="ae"/>
    <w:uiPriority w:val="99"/>
    <w:semiHidden/>
    <w:rsid w:val="000D7881"/>
    <w:rPr>
      <w:rFonts w:ascii="Segoe UI" w:eastAsia="宋体" w:hAnsi="Segoe UI" w:cs="Segoe UI"/>
      <w:sz w:val="18"/>
      <w:szCs w:val="18"/>
    </w:rPr>
  </w:style>
  <w:style w:type="character" w:customStyle="1" w:styleId="captions">
    <w:name w:val="captions"/>
    <w:basedOn w:val="a0"/>
    <w:rsid w:val="000D7881"/>
  </w:style>
  <w:style w:type="paragraph" w:styleId="af0">
    <w:name w:val="Quote"/>
    <w:basedOn w:val="a"/>
    <w:next w:val="a"/>
    <w:link w:val="af1"/>
    <w:uiPriority w:val="29"/>
    <w:qFormat/>
    <w:rsid w:val="000D7881"/>
    <w:pPr>
      <w:widowControl/>
      <w:adjustRightInd w:val="0"/>
      <w:snapToGrid w:val="0"/>
      <w:spacing w:line="480" w:lineRule="auto"/>
      <w:ind w:left="357" w:hanging="357"/>
      <w:contextualSpacing/>
      <w:jc w:val="left"/>
    </w:pPr>
    <w:rPr>
      <w:rFonts w:eastAsiaTheme="minorEastAsia" w:cstheme="minorBidi"/>
      <w:iCs/>
      <w:kern w:val="0"/>
      <w:szCs w:val="22"/>
    </w:rPr>
  </w:style>
  <w:style w:type="character" w:customStyle="1" w:styleId="af1">
    <w:name w:val="引用 字符"/>
    <w:basedOn w:val="a0"/>
    <w:link w:val="af0"/>
    <w:uiPriority w:val="29"/>
    <w:rsid w:val="000D7881"/>
    <w:rPr>
      <w:iCs/>
      <w:kern w:val="0"/>
    </w:rPr>
  </w:style>
  <w:style w:type="character" w:styleId="af2">
    <w:name w:val="annotation reference"/>
    <w:basedOn w:val="a0"/>
    <w:uiPriority w:val="99"/>
    <w:semiHidden/>
    <w:unhideWhenUsed/>
    <w:rsid w:val="000D7881"/>
    <w:rPr>
      <w:sz w:val="16"/>
      <w:szCs w:val="16"/>
    </w:rPr>
  </w:style>
  <w:style w:type="paragraph" w:styleId="af3">
    <w:name w:val="annotation text"/>
    <w:basedOn w:val="a"/>
    <w:link w:val="af4"/>
    <w:uiPriority w:val="99"/>
    <w:semiHidden/>
    <w:unhideWhenUsed/>
    <w:rsid w:val="000D7881"/>
    <w:rPr>
      <w:sz w:val="20"/>
      <w:szCs w:val="20"/>
    </w:rPr>
  </w:style>
  <w:style w:type="character" w:customStyle="1" w:styleId="af4">
    <w:name w:val="批注文字 字符"/>
    <w:basedOn w:val="a0"/>
    <w:link w:val="af3"/>
    <w:uiPriority w:val="99"/>
    <w:semiHidden/>
    <w:rsid w:val="000D7881"/>
    <w:rPr>
      <w:rFonts w:eastAsia="宋体" w:cs="Times New Roman"/>
      <w:sz w:val="20"/>
      <w:szCs w:val="20"/>
    </w:rPr>
  </w:style>
  <w:style w:type="paragraph" w:styleId="af5">
    <w:name w:val="annotation subject"/>
    <w:basedOn w:val="af3"/>
    <w:next w:val="af3"/>
    <w:link w:val="af6"/>
    <w:uiPriority w:val="99"/>
    <w:semiHidden/>
    <w:unhideWhenUsed/>
    <w:rsid w:val="000D7881"/>
    <w:rPr>
      <w:b/>
      <w:bCs/>
    </w:rPr>
  </w:style>
  <w:style w:type="character" w:customStyle="1" w:styleId="af6">
    <w:name w:val="批注主题 字符"/>
    <w:basedOn w:val="af4"/>
    <w:link w:val="af5"/>
    <w:uiPriority w:val="99"/>
    <w:semiHidden/>
    <w:rsid w:val="000D7881"/>
    <w:rPr>
      <w:rFonts w:eastAsia="宋体" w:cs="Times New Roman"/>
      <w:b/>
      <w:bCs/>
      <w:sz w:val="20"/>
      <w:szCs w:val="20"/>
    </w:rPr>
  </w:style>
  <w:style w:type="paragraph" w:styleId="af7">
    <w:name w:val="Revision"/>
    <w:hidden/>
    <w:uiPriority w:val="99"/>
    <w:semiHidden/>
    <w:rsid w:val="000D7881"/>
    <w:pPr>
      <w:spacing w:after="0" w:line="240" w:lineRule="auto"/>
    </w:pPr>
    <w:rPr>
      <w:rFonts w:eastAsia="宋体" w:cs="Times New Roman"/>
      <w:szCs w:val="24"/>
    </w:rPr>
  </w:style>
  <w:style w:type="paragraph" w:styleId="af8">
    <w:name w:val="Normal (Web)"/>
    <w:basedOn w:val="a"/>
    <w:uiPriority w:val="99"/>
    <w:semiHidden/>
    <w:unhideWhenUsed/>
    <w:rsid w:val="000D7881"/>
    <w:pPr>
      <w:widowControl/>
      <w:spacing w:before="100" w:beforeAutospacing="1" w:after="100" w:afterAutospacing="1"/>
      <w:jc w:val="left"/>
    </w:pPr>
    <w:rPr>
      <w:rFonts w:eastAsia="Times New Roman"/>
      <w:kern w:val="0"/>
    </w:rPr>
  </w:style>
  <w:style w:type="character" w:customStyle="1" w:styleId="hgkelc">
    <w:name w:val="hgkelc"/>
    <w:basedOn w:val="a0"/>
    <w:rsid w:val="000D7881"/>
  </w:style>
  <w:style w:type="character" w:customStyle="1" w:styleId="accordion-tabbedtab-mobile">
    <w:name w:val="accordion-tabbed__tab-mobile"/>
    <w:basedOn w:val="a0"/>
    <w:rsid w:val="000D7881"/>
  </w:style>
  <w:style w:type="character" w:styleId="af9">
    <w:name w:val="Unresolved Mention"/>
    <w:basedOn w:val="a0"/>
    <w:uiPriority w:val="99"/>
    <w:semiHidden/>
    <w:unhideWhenUsed/>
    <w:rsid w:val="000D7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6.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5DB14-3D95-4C8B-B34D-FAD1FDC1DC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3E9107-66A6-49D1-B2D9-35DC6B7E48F8}">
  <ds:schemaRefs>
    <ds:schemaRef ds:uri="http://schemas.openxmlformats.org/officeDocument/2006/bibliography"/>
  </ds:schemaRefs>
</ds:datastoreItem>
</file>

<file path=customXml/itemProps3.xml><?xml version="1.0" encoding="utf-8"?>
<ds:datastoreItem xmlns:ds="http://schemas.openxmlformats.org/officeDocument/2006/customXml" ds:itemID="{016C9CE7-EF79-4048-A429-7D8E1AC95FB4}"/>
</file>

<file path=customXml/itemProps4.xml><?xml version="1.0" encoding="utf-8"?>
<ds:datastoreItem xmlns:ds="http://schemas.openxmlformats.org/officeDocument/2006/customXml" ds:itemID="{5E412495-F614-4BB7-AD81-B5AA1092B6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34</Pages>
  <Words>8299</Words>
  <Characters>47306</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Wen</dc:creator>
  <cp:keywords/>
  <dc:description/>
  <cp:lastModifiedBy>Lei Wen</cp:lastModifiedBy>
  <cp:revision>69</cp:revision>
  <cp:lastPrinted>2023-01-24T14:17:00Z</cp:lastPrinted>
  <dcterms:created xsi:type="dcterms:W3CDTF">2023-01-27T08:11:00Z</dcterms:created>
  <dcterms:modified xsi:type="dcterms:W3CDTF">2023-03-08T11:01:00Z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