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E5E1D" w14:textId="53469D05" w:rsidR="00DD0300" w:rsidRPr="00437A3E" w:rsidRDefault="001C05CC" w:rsidP="00F804FE">
      <w:pPr>
        <w:pStyle w:val="Title2"/>
        <w:jc w:val="both"/>
        <w:rPr>
          <w:rFonts w:eastAsia="等线"/>
          <w:color w:val="000000" w:themeColor="text1"/>
          <w:lang w:val="en-HK" w:eastAsia="zh-CN"/>
        </w:rPr>
      </w:pPr>
      <w:r w:rsidRPr="001C05CC">
        <w:rPr>
          <w:rFonts w:eastAsia="等线" w:hint="eastAsia"/>
          <w:color w:val="000000" w:themeColor="text1"/>
          <w:sz w:val="28"/>
          <w:szCs w:val="28"/>
          <w:lang w:val="en-HK" w:eastAsia="zh-CN"/>
        </w:rPr>
        <w:t>In Situ Tin(II) Complex Antisolvent Process Featuring Simultaneous Quasi</w:t>
      </w:r>
      <w:r w:rsidRPr="001C05CC">
        <w:rPr>
          <w:rFonts w:eastAsia="等线" w:hint="eastAsia"/>
          <w:color w:val="000000" w:themeColor="text1"/>
          <w:sz w:val="28"/>
          <w:szCs w:val="28"/>
          <w:lang w:val="en-HK" w:eastAsia="zh-CN"/>
        </w:rPr>
        <w:t>‐</w:t>
      </w:r>
      <w:r w:rsidRPr="001C05CC">
        <w:rPr>
          <w:rFonts w:eastAsia="等线" w:hint="eastAsia"/>
          <w:color w:val="000000" w:themeColor="text1"/>
          <w:sz w:val="28"/>
          <w:szCs w:val="28"/>
          <w:lang w:val="en-HK" w:eastAsia="zh-CN"/>
        </w:rPr>
        <w:t>Core</w:t>
      </w:r>
      <w:r w:rsidRPr="001C05CC">
        <w:rPr>
          <w:rFonts w:eastAsia="等线" w:hint="eastAsia"/>
          <w:color w:val="000000" w:themeColor="text1"/>
          <w:sz w:val="28"/>
          <w:szCs w:val="28"/>
          <w:lang w:val="en-HK" w:eastAsia="zh-CN"/>
        </w:rPr>
        <w:t>–</w:t>
      </w:r>
      <w:r w:rsidRPr="001C05CC">
        <w:rPr>
          <w:rFonts w:eastAsia="等线" w:hint="eastAsia"/>
          <w:color w:val="000000" w:themeColor="text1"/>
          <w:sz w:val="28"/>
          <w:szCs w:val="28"/>
          <w:lang w:val="en-HK" w:eastAsia="zh-CN"/>
        </w:rPr>
        <w:t>Shell Structure and Heterojunction for Improving Efficiency and Stability of Low</w:t>
      </w:r>
      <w:r w:rsidRPr="001C05CC">
        <w:rPr>
          <w:rFonts w:eastAsia="等线" w:hint="eastAsia"/>
          <w:color w:val="000000" w:themeColor="text1"/>
          <w:sz w:val="28"/>
          <w:szCs w:val="28"/>
          <w:lang w:val="en-HK" w:eastAsia="zh-CN"/>
        </w:rPr>
        <w:t>‐</w:t>
      </w:r>
      <w:r w:rsidRPr="001C05CC">
        <w:rPr>
          <w:rFonts w:eastAsia="等线" w:hint="eastAsia"/>
          <w:color w:val="000000" w:themeColor="text1"/>
          <w:sz w:val="28"/>
          <w:szCs w:val="28"/>
          <w:lang w:val="en-HK" w:eastAsia="zh-CN"/>
        </w:rPr>
        <w:t>Bandgap Perovskite Solar Cells</w:t>
      </w:r>
    </w:p>
    <w:p w14:paraId="570D7226" w14:textId="77777777" w:rsidR="00F46D04" w:rsidRPr="00437A3E" w:rsidRDefault="00F46D04" w:rsidP="00DF4435">
      <w:pPr>
        <w:pStyle w:val="Tableofcontents"/>
        <w:rPr>
          <w:color w:val="000000" w:themeColor="text1"/>
        </w:rPr>
      </w:pPr>
    </w:p>
    <w:p w14:paraId="01A1324B" w14:textId="1A50A1B9" w:rsidR="001C05CC" w:rsidRPr="001C05CC" w:rsidRDefault="001C05CC" w:rsidP="001C05CC">
      <w:pPr>
        <w:pStyle w:val="Tableofcontents"/>
        <w:rPr>
          <w:color w:val="000000" w:themeColor="text1"/>
        </w:rPr>
      </w:pPr>
      <w:r w:rsidRPr="001C05CC">
        <w:rPr>
          <w:color w:val="000000" w:themeColor="text1"/>
        </w:rPr>
        <w:t>Can Li, Ruiman Ma, Xinjun He, Tingbin Yang, Ziming Zhou, Shuo Yang, Yongye Liang,</w:t>
      </w:r>
    </w:p>
    <w:p w14:paraId="1E1B77F3" w14:textId="20132A76" w:rsidR="00F804FE" w:rsidRDefault="001C05CC" w:rsidP="001C05CC">
      <w:pPr>
        <w:pStyle w:val="Tableofcontents"/>
        <w:rPr>
          <w:color w:val="000000" w:themeColor="text1"/>
        </w:rPr>
      </w:pPr>
      <w:r w:rsidRPr="001C05CC">
        <w:rPr>
          <w:color w:val="000000" w:themeColor="text1"/>
        </w:rPr>
        <w:t>Xiao Wei Sun, Jiannong Wang, Yanfa Yan, and Wallace C. H. Choy*</w:t>
      </w:r>
    </w:p>
    <w:p w14:paraId="39E10022" w14:textId="6641A98B" w:rsidR="002D16A0" w:rsidRDefault="002D16A0" w:rsidP="002E14A1">
      <w:pPr>
        <w:pStyle w:val="Tableofcontents"/>
        <w:rPr>
          <w:color w:val="000000" w:themeColor="text1"/>
        </w:rPr>
      </w:pPr>
    </w:p>
    <w:p w14:paraId="4C28A89F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C. Li, R. Ma, X. He, Prof. W. C. H. Choy</w:t>
      </w:r>
    </w:p>
    <w:p w14:paraId="4ED9C99B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Department of Electrical and Electronic Engineering</w:t>
      </w:r>
    </w:p>
    <w:p w14:paraId="14182417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The University of Hong Kong</w:t>
      </w:r>
    </w:p>
    <w:p w14:paraId="7D2D4597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Pokfulam Road, Hong Kong 999077, China</w:t>
      </w:r>
    </w:p>
    <w:p w14:paraId="4CD3BDBF" w14:textId="2B006EE7" w:rsid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 xml:space="preserve">E-mail: </w:t>
      </w:r>
      <w:hyperlink r:id="rId9" w:history="1">
        <w:r w:rsidRPr="00195493">
          <w:rPr>
            <w:rStyle w:val="Hyperlink"/>
            <w:i w:val="0"/>
            <w:iCs/>
          </w:rPr>
          <w:t>chchoy@eee.hku.hk</w:t>
        </w:r>
      </w:hyperlink>
    </w:p>
    <w:p w14:paraId="2FA43889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</w:p>
    <w:p w14:paraId="72232705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Dr. T. Yang, Prof. Y. Liang</w:t>
      </w:r>
    </w:p>
    <w:p w14:paraId="499CD477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Shenzhen Key Laboratory of Printed Electronics</w:t>
      </w:r>
    </w:p>
    <w:p w14:paraId="208FB791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Department of Materials Science and Engineering</w:t>
      </w:r>
    </w:p>
    <w:p w14:paraId="44820374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Southern University of Science and Technology of China</w:t>
      </w:r>
    </w:p>
    <w:p w14:paraId="4C3B4FF1" w14:textId="4ACB4172" w:rsid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Shenzhen 518055, P. R. China</w:t>
      </w:r>
    </w:p>
    <w:p w14:paraId="51AD7523" w14:textId="77777777" w:rsidR="001C05CC" w:rsidRDefault="001C05CC" w:rsidP="001C05CC">
      <w:pPr>
        <w:pStyle w:val="Tableofcontents"/>
        <w:rPr>
          <w:i w:val="0"/>
          <w:iCs/>
          <w:color w:val="000000" w:themeColor="text1"/>
        </w:rPr>
      </w:pPr>
    </w:p>
    <w:p w14:paraId="7D577C86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Z. Zhou, Prof. X. W. Sun</w:t>
      </w:r>
    </w:p>
    <w:p w14:paraId="20510935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Department of Electrical and Electronic Engineering</w:t>
      </w:r>
    </w:p>
    <w:p w14:paraId="5FDAF8B7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Southern University of Science and Technology</w:t>
      </w:r>
    </w:p>
    <w:p w14:paraId="6E8462BD" w14:textId="77777777" w:rsid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Shenzhen 518055, P. R. China</w:t>
      </w:r>
    </w:p>
    <w:p w14:paraId="1D7A5B61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</w:p>
    <w:p w14:paraId="67CCD9D4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S. Yang, Prof. J. Wang</w:t>
      </w:r>
    </w:p>
    <w:p w14:paraId="38CD8CE2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Department of Physics</w:t>
      </w:r>
    </w:p>
    <w:p w14:paraId="40A27F09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The Hong Kong University of Science and Technology</w:t>
      </w:r>
    </w:p>
    <w:p w14:paraId="34F05A4E" w14:textId="77777777" w:rsid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Clear Water Bay, Hong Kong 999077, China</w:t>
      </w:r>
    </w:p>
    <w:p w14:paraId="5FF5E8FA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</w:p>
    <w:p w14:paraId="03C53A9B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Prof. Y. Yan</w:t>
      </w:r>
    </w:p>
    <w:p w14:paraId="4065FEBC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Department of Physics and Astronomy and Wright Center for Photovoltaics</w:t>
      </w:r>
    </w:p>
    <w:p w14:paraId="23EA5581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Innovation and Commercialization</w:t>
      </w:r>
    </w:p>
    <w:p w14:paraId="6FDEFC38" w14:textId="77777777" w:rsidR="001C05CC" w:rsidRP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The University of Toledo</w:t>
      </w:r>
    </w:p>
    <w:p w14:paraId="4F9EAAA2" w14:textId="587EDFB0" w:rsidR="001C05CC" w:rsidRDefault="001C05CC" w:rsidP="001C05CC">
      <w:pPr>
        <w:pStyle w:val="Tableofcontents"/>
        <w:rPr>
          <w:i w:val="0"/>
          <w:iCs/>
          <w:color w:val="000000" w:themeColor="text1"/>
        </w:rPr>
      </w:pPr>
      <w:r w:rsidRPr="001C05CC">
        <w:rPr>
          <w:i w:val="0"/>
          <w:iCs/>
          <w:color w:val="000000" w:themeColor="text1"/>
        </w:rPr>
        <w:t>Toledo, OH 43606, USA</w:t>
      </w:r>
    </w:p>
    <w:p w14:paraId="10F73DFB" w14:textId="77777777" w:rsidR="005014A1" w:rsidRPr="00437A3E" w:rsidRDefault="005014A1" w:rsidP="002D16A0">
      <w:pPr>
        <w:rPr>
          <w:color w:val="000000" w:themeColor="text1"/>
        </w:rPr>
      </w:pPr>
    </w:p>
    <w:p w14:paraId="04732AFD" w14:textId="2867DC0E" w:rsidR="005B565B" w:rsidRPr="00437A3E" w:rsidRDefault="00362F68" w:rsidP="002C0143">
      <w:pPr>
        <w:pStyle w:val="Abstract"/>
        <w:rPr>
          <w:color w:val="000000" w:themeColor="text1"/>
        </w:rPr>
      </w:pPr>
      <w:r w:rsidRPr="00437A3E">
        <w:rPr>
          <w:color w:val="000000" w:themeColor="text1"/>
        </w:rPr>
        <w:t xml:space="preserve">Abstract </w:t>
      </w:r>
    </w:p>
    <w:p w14:paraId="5BE535CE" w14:textId="7F04EF98" w:rsidR="00277B63" w:rsidRDefault="001C05CC" w:rsidP="001C05CC">
      <w:pPr>
        <w:spacing w:line="480" w:lineRule="auto"/>
        <w:jc w:val="both"/>
        <w:rPr>
          <w:color w:val="000000" w:themeColor="text1"/>
          <w:lang w:val="en-HK"/>
        </w:rPr>
      </w:pPr>
      <w:r w:rsidRPr="001C05CC">
        <w:rPr>
          <w:color w:val="000000" w:themeColor="text1"/>
          <w:lang w:val="en-HK" w:eastAsia="zh-CN"/>
        </w:rPr>
        <w:t>Unlike Pb-based perovskites, it is still a challenge for realizing the targets of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high performance and stability in mixed Pb–Sn perovskite solar cells owing to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grain boundary traps and chemical changes in the perovskites. In this work,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proposed is the approach of in-situ tin(II) inorganic complex antisolvent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process for specifically tuning the perovskite nucleation and crystal growth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process. Interestingly, uniquely formed is the quasi-core–shell structure of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Pb–Sn perovskite–tin(II) complex as well as heterojunction perovskite structure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 xml:space="preserve">at the same time for achieving the </w:t>
      </w:r>
      <w:r w:rsidRPr="001C05CC">
        <w:rPr>
          <w:color w:val="000000" w:themeColor="text1"/>
          <w:lang w:val="en-HK" w:eastAsia="zh-CN"/>
        </w:rPr>
        <w:lastRenderedPageBreak/>
        <w:t>targets. The core–shell structure of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Pb–Sn perovskite crystals covered by a tin(II) complex at the grain boundaries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effectively passivates the trap states and suppresses the nonradiative recombination,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leading to longer carrier lifetime. Equally important, the perovskite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heterostructure is intentionally formed at the perovskite top region for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enhancing the carrier extraction. As a result, the mixed Pb–Sn low-bandgap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perovskite device achieves a high power conversion efficiency up to 19.03%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with fill factor over 0.8, which is among the highest fill factor in high-performance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Pb–Sn perovskite solar cells. Remarkably, the device fail time under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continuous light illumination is extended by over 18.5-folds from 30 to 560 h,</w:t>
      </w:r>
      <w:r>
        <w:rPr>
          <w:color w:val="000000" w:themeColor="text1"/>
          <w:lang w:val="en-HK" w:eastAsia="zh-CN"/>
        </w:rPr>
        <w:t xml:space="preserve"> </w:t>
      </w:r>
      <w:r w:rsidRPr="001C05CC">
        <w:rPr>
          <w:color w:val="000000" w:themeColor="text1"/>
          <w:lang w:val="en-HK" w:eastAsia="zh-CN"/>
        </w:rPr>
        <w:t>benefitting from the protection of the quasi-core–shell structure.</w:t>
      </w:r>
      <w:r>
        <w:rPr>
          <w:color w:val="000000" w:themeColor="text1"/>
          <w:lang w:val="en-HK"/>
        </w:rPr>
        <w:t xml:space="preserve"> </w:t>
      </w:r>
    </w:p>
    <w:p w14:paraId="49FFF35C" w14:textId="77777777" w:rsidR="001C05CC" w:rsidRPr="00437A3E" w:rsidRDefault="001C05CC" w:rsidP="001C05CC">
      <w:pPr>
        <w:spacing w:line="480" w:lineRule="auto"/>
        <w:jc w:val="both"/>
        <w:rPr>
          <w:color w:val="000000" w:themeColor="text1"/>
          <w:lang w:val="en-HK"/>
        </w:rPr>
      </w:pPr>
    </w:p>
    <w:p w14:paraId="46A701E6" w14:textId="2FF12952" w:rsidR="00172EED" w:rsidRPr="00437A3E" w:rsidRDefault="00362F68" w:rsidP="002C0143">
      <w:pPr>
        <w:pStyle w:val="Abstract"/>
        <w:rPr>
          <w:color w:val="000000" w:themeColor="text1"/>
        </w:rPr>
      </w:pPr>
      <w:r w:rsidRPr="00437A3E">
        <w:rPr>
          <w:color w:val="000000" w:themeColor="text1"/>
        </w:rPr>
        <w:t xml:space="preserve">Introduction </w:t>
      </w:r>
    </w:p>
    <w:p w14:paraId="394C4D57" w14:textId="77777777" w:rsidR="009F4700" w:rsidRDefault="001C05CC" w:rsidP="001C05CC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Organohalide perovskite solar cells have achieved remarkable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development in recent years with unprecedented high performance,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featuring the advantages of tunable bandgap, high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absorption coefficient, long carrier diffusion length, simple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preparation techniques, and low cost.[1–7]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Although the performance is highly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increased, the efficiency of single-junction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device is ultimately limited by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Shockley–Queisser limit.[8,9] To further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improve the power conversion efficiency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(PCE) of perovskite solar cells,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tandem devices have been reported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which enable long wavelength absorption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reduce thermalization losses.[10–15]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Mixed Pb-Sn perovskite materials have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 tunable low bandgap in the range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1.2–1.5 eV,[16] which is a highly desirable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candidate for the low-bandgap absorber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perovskite–perovskite tandem devices.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Nevertheless, it is still a big challenge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fabricate mixed Pb-Sn low-bandgap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solar cells with high efficiency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stability. The main factors are the trapassisted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nonradiative recombination at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grain boundaries and the easy oxidation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Sn2+ ions. The nonradiative recombination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will lead to the reduction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of the opencircuit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voltage (VOC), which dramatically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degrades the device performances. Furthermore, as Sn2+ ions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are highly chemical reactive in the perovskite materials, the formation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energy of intrinsic Sn vacancies is relatively low leading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a high background carrier density as well as metallic conductivity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the perovskite film, which hinders the development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high-performance mixed Pb-Sn perovskite solar cells.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10940C1B" w14:textId="77777777" w:rsidR="009F4700" w:rsidRDefault="001C05CC" w:rsidP="001C05CC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order to improve the performance and stability of mixed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Pb-Sn low-bandgap perovskite solar cells, a variety of strategies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has been applied to the fabrication process. For example,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different additives have been employed in the tin-based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precursors, such as, ascorbic acid,[17] SnF2,[3,18,19] SnF2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complex,[20,21] and excess Sn(II) compound (SnX2, X = Cl, Br,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I)[22,23] to reduce the oxidation of the Sn2+ and Sn vacancies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the perovskite films. The additives in this approach usually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do not modify the perovskite electronic structure because they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are not designed to incorporate into perovskite lattice to avoid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change of the perovskite properties.[18,19,21,23] For instance,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those tin(II) complexes are reported to precipitate at the grain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boundaries during the crystal growth process and they usually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nonuniformly distributed.[20,21] Nevertheless, there is no clear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study of incorporating inorganic materials, especially inorganic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compositions with the advantage of minimizing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unexpected impurities, during the antisolvent process for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modifying the crystallization of perovskites and thus their electronic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structures. It is highly desirable to study the feasibility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using inorganic perovskite compositions during antisolvent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process in mixed Pb-Sn perovskites to improve the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crystalline structure for improving their device performances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particularly their device stability which is the current challenge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their practical applications.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6EE7555A" w14:textId="3F3FE07E" w:rsidR="00F804FE" w:rsidRDefault="001C05CC" w:rsidP="001C05CC">
      <w:pPr>
        <w:pStyle w:val="RSCB02ArticleText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this work, we demonstrate an in situ tin(II) complex antisolvent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process (hereafter denoted as the tin(II) process) for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achieving the highly stable and efficient mixed Pb-Sn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solar cells. Interestingly, by tuning the perovskite nucleation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and crystal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growth process through the tin(II) process, we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uniquely form the perovskite-tin(II) quasi-core–shell structure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as well as heterojunction perovskite structure with energy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offset at the same time. The quasi-core–shell structure passivates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trap states at grain boundaries and suppresses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nonradiative recombination leading to considerable enhanced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carrier lifetime. Furthermore, the tin(II) process offers heterostructure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 energy offset at the perovskite top region which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enhances the electron extraction and suppresses the bimolecular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recombination. The champion mixed Pb-Sn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solar cell achieves a high PCE up to 19.03% with fill factor (FF)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reaching 0.8. The perovskite device with the tin(II) process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remains 92% of its initial PCE after stored in inert environment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22 days. Remarkably, the device fail time under continues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light illumination is significantly extended by over 18.5-folds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from 30 to 560 h, which is the longest lifetime of the highperformance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mixed Pb-Sn low bandgap perovskite solar cells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under illumination.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0BE64EA9" w14:textId="51CB09F0" w:rsidR="002C0143" w:rsidRPr="00437A3E" w:rsidRDefault="00362F68" w:rsidP="00347D1C">
      <w:pPr>
        <w:pStyle w:val="RSCB02ArticleText"/>
        <w:spacing w:line="480" w:lineRule="auto"/>
        <w:rPr>
          <w:rFonts w:ascii="Times New Roman" w:hAnsi="Times New Roman"/>
          <w:b/>
          <w:color w:val="000000" w:themeColor="text1"/>
          <w:sz w:val="28"/>
          <w:szCs w:val="28"/>
          <w:lang w:val="en-US" w:eastAsia="zh-CN"/>
        </w:rPr>
      </w:pPr>
      <w:r w:rsidRPr="00437A3E">
        <w:rPr>
          <w:rFonts w:ascii="Times New Roman" w:hAnsi="Times New Roman"/>
          <w:b/>
          <w:color w:val="000000" w:themeColor="text1"/>
          <w:sz w:val="28"/>
          <w:szCs w:val="28"/>
          <w:lang w:val="en-US" w:eastAsia="zh-CN"/>
        </w:rPr>
        <w:t>Results and discussion</w:t>
      </w:r>
    </w:p>
    <w:p w14:paraId="021F00C7" w14:textId="2CDB0040" w:rsidR="00536B3A" w:rsidRPr="001C05CC" w:rsidRDefault="000D4E8A" w:rsidP="001C05CC">
      <w:pPr>
        <w:pStyle w:val="RSCB02ArticleText"/>
        <w:widowControl w:val="0"/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 xml:space="preserve">2.1. </w:t>
      </w:r>
      <w:r w:rsidR="001C05CC" w:rsidRPr="001C05CC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>Formation of Quasi-Core–Shell Structure and Mechanism of</w:t>
      </w:r>
      <w:r w:rsidR="001C05CC" w:rsidRPr="001C05CC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 xml:space="preserve"> </w:t>
      </w:r>
      <w:r w:rsidR="001C05CC" w:rsidRPr="001C05CC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>the Heterostructure at Perovskite Top Region</w:t>
      </w:r>
    </w:p>
    <w:p w14:paraId="1FDA83AB" w14:textId="77777777" w:rsidR="009F4700" w:rsidRDefault="001C05CC" w:rsidP="009F4700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Figure 1a illustrates the schematic diagram of the tin(II) process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mixed Pb-Sn low-bandgap perovskite films. In brief,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SnCl2 powders were dissolved in anhydrous diethyl ether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(DEE) at desired concentration to form a clear solution, as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shown in the inset picture of Figure 1a. The SnCl2 concentration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the stock solution was 1 mg mL−1 and the solution concentration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was varied for the tin(II) process. We choose FA0.5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MA0.5Pb0.5Sn0.5I3 (FA = formamidinium, MA = methylammonium)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as the reference mixed Pb-Sn low-bandgap perovskite,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 SnF2 additive to prevent the oxidization of Sn2+ in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precursor. For the reference perovskite film without the tin(II)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process, the precursor was dropped on the substrate in the N2-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filled glovebox and washed with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anhydrous DEE during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antisolvent process. While, for the perovskite films with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tin(II) process, the same precursor was washed with SnCl2 DEE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solution. The perovskite films after the tin(II) process without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annealing are shown in Figure 1b. The film shows a purple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color at the top surface indicating the tin(II) process modification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effect which is very different from the reference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film (without the tin(II) process and without annealing process)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 a regular deep dark color.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3D8C8005" w14:textId="77777777" w:rsidR="009F4700" w:rsidRDefault="001C05CC" w:rsidP="009F4700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Regarding the crystalline properties of the mixed Pb-Sn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perovskite, as shown in the X-ray diffraction (XRD) spectra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Figure 1c, the reference film without tin(II) process and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film with the tin(II) process have the same orthorhombic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crystal structure adopted from FASnI3.[24] The second main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peak around 28° was fitted by the Voigt function to determine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peak position as shown in Figure S1 in the Supporting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Information. When SnCl2 concentration increases, the peak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position slightly increases indicating a smaller d-spacing. Consequently,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through the tin(II) process, a little amount of small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ions (might be Sn2+ or Cl−) are incorporated into the mixed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Pb-Sn perovskite lattice (the incorporated ions will be clarified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the following section).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7E0DDCB2" w14:textId="77777777" w:rsidR="009F4700" w:rsidRDefault="001C05CC" w:rsidP="009F4700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order to fundamentally understand the microstructural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evolution of the perovskite film after the tin(II) process, we conducted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scanning electron microscopy (SEM) and transmission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electron microscopy (TEM) characterization. Figure 2a,b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shows the SEM images of perovskite films without and with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tin(II) process, respectively. It is observed that there are some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pin holes in the reference perovskite film without the tin(II)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process indicated by the red arrows in Figure 2a, which may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lead to short-circuit path in the device with low VOC and FF.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These pin holes can be attributed to fast crystallization process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Sn-based perovskite films.[25] Interestingly, after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tin(II) process, the crystal size is modified observed from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top view SEM and there is a new layer of materials covered 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perovskite surface to prevent the formation of pin holes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perovskite film. Figure 2c illustrates bright field TEM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perovskite film with the tin(II)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process. To avoid the unexpected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influences of SnF2 during the characterization, SnF2 was not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added into the perovskite precursor for TEM measurement.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bright field TEM, the dark-contrast region is highly crystalline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crystals while the light-contrast region is low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crystalline materials.[21,26] In the low-magnification TEM, it is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clearly observed that the perovskite crystals (dark contrast) are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surrounded by a low crystalline material with light contrast.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high-magnification TEM at grain boundary region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Figure 2d confirms again that there is a new material covering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perovskite crystal and precipitating at the grain boundary.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clarify the material forming the shell (i.e., the light-contrast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bright regions) of the core–shell structure, energy-dispersive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X-ray spectroscopy (EDS) was conducted at grain boundary (site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1) and grain area (site 2) as shown in Figure 2d. The extracted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elemental ratio shown in Figure S2 of the Supporting Information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illustrates that the main atoms are Pb, Sn, and I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grain area (site 2), which are the main elements of mixed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Pb-Sn perovskite. However, the atoms in the grain boundary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(site 1) are mainly Sn and I, while the signal of Pb atoms is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too weak to be considered. The d-spacing (extracted from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high-resolution TEM (HRTEM) in Figure S3 in the Supporting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Information) is also consistent with the d-spacing of SnI2.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Thus, the new material at the grain boundary is SnI2 formed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the tin(II) process using SnCl2. This result can be further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understood that the SnI2 is formed through the reaction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3MAI+SnCl2 = MASnI3+2MACl</w:t>
      </w:r>
      <w:r w:rsidRPr="001C05CC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↑</w:t>
      </w:r>
      <w:r w:rsidRPr="001C05CC"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>, MASnI3 = SnI2+MAI, like</w:t>
      </w:r>
      <w:r>
        <w:rPr>
          <w:rFonts w:ascii="Times New Roman" w:hAnsi="Times New Roman" w:hint="eastAsia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PbCl2 transformation in MAPbI3.[27] Previous XRD results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indicate that small ions are incorporated into the perovskite lattice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the HRTEM results confirm that the ion is Sn2+ with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smaller radius than Pb2+. Consequently, the quasi-core–shell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structure is formed and composed of the perovskite crystals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tin(II) complex through the tin(II) process.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34A9AB9B" w14:textId="77777777" w:rsidR="009F4700" w:rsidRDefault="001C05CC" w:rsidP="009F4700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Figure 3a,b shows the cross-view SEM images of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film without and with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the tin(II) process, respectively.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It is observed that the perovskite film after the tin(II) process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(Figure 3b) shows grains with the similar size at the bottom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region in comparison to that without the tin(II) process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(Figure 3a). Meanwhile, the top region (Figure 3b) is composed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relatively smaller crystals. This result indicates that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tin(II) process only modifies perovskite grains at the top region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maintains the crystallinity of the underneath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film. The atomic force microscope studies of perovskite film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 different annealing time in Figure S4 of the Supporting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Information demonstrate the crystal growth process at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top region without and with the tin(II) process. For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reference perovskite film without the tin(II) process,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grains grow larger with the increase of annealing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time. Differently, for the perovskite film with the tin(II) process,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crystal size is smaller than that of reference film under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same annealing condition and the crystal growth with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annealing time is not obvious. To demonstrate the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heterostructure in the vertical direction, we employ time-offlight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secondary ion mass spectrometry (ToF-SIMS) depth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profiling on perovskite film with the structure of Bathocuproine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(BCP)/C60/perovskite with the tin(II) process/poly(3,4-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ethylenedioxythiophene)-poly(styrenesulfonate) (PEDOT:PSS)/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indium tin oxide (ITO) and the results are shown in Figure 3c.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ToF-SIMS detects C, Pb, Sn, and In signals in the vertical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direction. At the C60 and perovskite interface, the signal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C decreases while the signals of Pb and Sn increase. At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and ITO(PEDOT:PSS) interface, the Pb and Sn signals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decrease while the In signal increases. Interestingly, we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find a new interface inside the perovskite film at the top region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(near the C60/perovskite interface) when the Pb and Sn signals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drop and then increase. The depth is around 3/10 of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whole thickness of perovskite film, which is consistent with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heterostructure thickness in Figure 3b. The ToF-SIMS of reference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film without the tin(II) process is shown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Figure S5 of the Supporting Information. The interfaces of C60/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and perovskite/ITO(PEDOT:PSS) are intuitively indicated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by the dashed line. However, there is no obvious interface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inside the perovskite film from the Sn signal. Therefore, from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results of cross-view SEM and ToF-SIMS, the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film with the tin(II) process is composed of heterostructure by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two different regions: the top region with smaller grain size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the bottom region with similar grain size in comparison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the reference film without the tin(II) process. The different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crystal growth scenario in the heterostructure can be understood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from the following mechanism: the tin(II) process with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SnCl2 during the antisolvent process introduces heterogenous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nucleation site at the top surface and there are more nuclei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formed at the perovskite top region. The tin(II) complex (SnCl2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the transformed SnI2) precipitates at the grain boundary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area hindering the ion movement during the annealing process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which leads to a smaller crystal size at the top region of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film with the tin(II) process. As the tin(II) complex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is introduced during the in situ antisolvent process, it has a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major influence on the top region and a little influence on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bottom region. As a result, the grain size of the bottom region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is similar to that of reference perovskite film.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02151C12" w14:textId="77777777" w:rsidR="009F4700" w:rsidRPr="009F4700" w:rsidRDefault="001C05CC" w:rsidP="009F4700">
      <w:pPr>
        <w:pStyle w:val="RSCB02ArticleText"/>
        <w:widowControl w:val="0"/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</w:pPr>
      <w:r w:rsidRPr="009F4700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>2.2. Optical and Electrical Properties of Perovskite Film with the</w:t>
      </w:r>
      <w:r w:rsidRPr="009F4700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 xml:space="preserve"> </w:t>
      </w:r>
      <w:r w:rsidRPr="009F4700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>Tin(II) Process</w:t>
      </w:r>
      <w:r w:rsidRPr="009F4700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 xml:space="preserve"> </w:t>
      </w:r>
    </w:p>
    <w:p w14:paraId="18A764AA" w14:textId="77777777" w:rsidR="009F4700" w:rsidRDefault="001C05CC" w:rsidP="009F4700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optical and electrical properties of perovskite films with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tin(II) process are further studied to reveal the benefits from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quasi-core–shell structure and heterostructure in the vertical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direction. The steady-state photoluminescence (PL) is shown 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Figure S6a in the Supporting Information. It is observed that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PL intensity of perovskite film with the tin(II) process is highly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improved compared with reference perovskite film without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tin(II) process indicating the trap states are reduced through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tin(II) process. To further investigate the electronic quality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the perovskite film, the Urbach energy was measured using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method reported in the literature[3,28] as shown in Figure S6b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the Supporting Information. The Urbach energy of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film with the tin(II) process is about 28.6 meV which is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lower than that (34.5 meV) of the reference perovskite film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without the tin(II) process. Overall, our results show the trap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density in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the perovskite film is reduced through the tin(II) process.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Time-resolved PL (TRPL) of perovskite film without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 the tin(II) process was carried out as shown in Figure 4a.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TRPL curves were fitted by a bi-exponential decay model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the parameters are summarized in Table 1. The fast decay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(τ1) is related with the surface trap-assisted recombination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slow decay (τ2) is attributed to recombination in the bulk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crystals.[29] It shows that the life time of fast decay is highly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improved from 10.9 ns (without the tin(II) process) to 45.7 ns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(with the tin(II) process) indicating the trap density at the grain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surface is reduced after the tin(II) process. Therefore, after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tin(II) process, the perovskite device has a longer carrier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lifetime indicating that the surface trap states are suppressed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owing to the passivation effect of the quasi-core–shell structure.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33057CE1" w14:textId="77777777" w:rsidR="009F4700" w:rsidRDefault="001C05CC" w:rsidP="009F4700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Figure 4b shows the absorbance spectra of perovskite films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without and with the tin(II) process. The bandgap calculated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from the Tauc plot is shown in Figure S7 of the Supporting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Information. The bandgap of perovskite with the tin(II) process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is 1.274 eV which is smaller compared with the 1.281 eV of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reference perovskite film. The bandgap is slightly decreased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after the tin(II) process which has negligible influence on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overall absorption band of the perovskite device. With the tin(II)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process, the additional Sn2+ incorporated into the perovskite lattice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will decrease the bandgap while the Cl− incorporation will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increase the bandgap. Consequently, the bandgap result is consistent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 the previous conclusion that small amount of Sn2+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ions is incorporated into the perovskite lattice.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014EEC65" w14:textId="77777777" w:rsidR="009F4700" w:rsidRDefault="001C05CC" w:rsidP="009F4700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energy band position of perovskite film without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 the tin(II) process is studied with ultraviolent photoelectron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spectroscopies (UPS). The valence-band (VB) edge calculation[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30] from the UPS measurement is shown in Figure S8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Supporting Information. The VB of reference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film and perovskite film with the tin(II) process are −5.15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−5.27 eV, respectively. The conduction band (CB) was calculated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from the VB and bandgap. As the UPS characterization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is sensitive to the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signal from several nanometers depth of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sample, the VB results obtained from the perovskite with tin(II)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process are the VB of the perovskite at top region with smaller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grain size. The tin(II) process changed the VB and CB positions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the perovskite film leading to a lower VB and CB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top region. The band position information is summarized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Figure 4c. With the heterojunction at the interface of bottom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region and top region of perovskite film, the electron extraction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from perovskite to C60 will be improved while the hole will be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prevented to transfer to the top region suppressing the electron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hole bimolecular recombination at the perovskite back surface.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As a result, the tin(II) process results in a heterojunction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which benefits the electron extraction and reduces the electron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hole bimolecular recombination.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744CD71F" w14:textId="77777777" w:rsidR="009F4700" w:rsidRDefault="001C05CC" w:rsidP="009F4700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Owing to the intrinsic property of mixed Pb-Sn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materials, when Sn2+ is oxidized to Sn4+, it will diffuse out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perovskite lattice and leave Sn2+ vacancies. The Sn vacancies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mixed Pb-Sn perovskite leads to the high background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carrier density,[31,32] which is undesired for high-performance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devices. In the perovskite film without the tin(II)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process, although SnF2 was also added into the precursor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suppress the oxidation of Sn2+, the background carrier density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is still high attributed to the nonuniform distribution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SnF2.[20,21] Remarkably, the quasi-core–shell structure forms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dense protecting (shell) layer covering the crystalline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(core) layer, in which the shell effectively diminishes the oxidation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process. Equally important, the intentionally induced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excess Sn2+ at the grain boundary area diffuses into the crystalline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and compensates the vacancies. Besides, since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size of small crystals formed through the tin(II) process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reduces particularly at the top region, the diffusion length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Sn2+ for vacancy compensation reduces which is beneficial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Sn2+ vacancy modulation. Importantly, the background carrier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density of perovskite film without and with tin(II) process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measured by Hall effect were 1.35 × 1015 and 5.76 × 1014 cm−3,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respectively. Thus, the tin(II) process can efficiently suppress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the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formation of Sn vacancies in the perovskite film leading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 lower background carrier density.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7FEDAB64" w14:textId="77777777" w:rsidR="009F4700" w:rsidRPr="009F4700" w:rsidRDefault="001C05CC" w:rsidP="009F4700">
      <w:pPr>
        <w:pStyle w:val="RSCB02ArticleText"/>
        <w:widowControl w:val="0"/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</w:pPr>
      <w:r w:rsidRPr="009F4700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>2.3. Highly Efficient and Stable Mixed Pb-Sn Perovskite Solar</w:t>
      </w:r>
      <w:r w:rsidRPr="009F4700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 xml:space="preserve"> </w:t>
      </w:r>
      <w:r w:rsidRPr="009F4700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>Cells</w:t>
      </w:r>
      <w:r w:rsidRPr="009F4700">
        <w:rPr>
          <w:rFonts w:ascii="Times New Roman" w:hAnsi="Times New Roman"/>
          <w:b/>
          <w:bCs/>
          <w:color w:val="000000" w:themeColor="text1"/>
          <w:sz w:val="24"/>
          <w:szCs w:val="24"/>
          <w:lang w:val="en-US" w:eastAsia="zh-CN"/>
        </w:rPr>
        <w:t xml:space="preserve"> </w:t>
      </w:r>
    </w:p>
    <w:p w14:paraId="16E4C0E2" w14:textId="77777777" w:rsidR="009F4700" w:rsidRDefault="001C05CC" w:rsidP="009F4700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Mixed Pb-Sn perovskite solar cells with the structure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ITO/PEDOT:PSS/perovskite film (with or without the tin(II)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process)/C60/BCP/Ag were fabricated to investigate the performance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improvement of the quasi-core–shell structure and vertical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heterostructure-based Pb-Sn perovskite device. Figure S9a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the Supporting Information shows the current–density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voltage (J–V) curves of the perovskite solar cells without and with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tin(II) process. The perovskite device without the tin(II) process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exhibited a VOC of 0.71 V, JSC of 28.34 mA cm−2, and FF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0.76, giving a PCE of 15.36%. For the perovskite device with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tin(II) process, the VOC, JSC, and FF are 0.78 V, 28.64 mA cm−2,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0.79, respectively, resulting in a PCE of 17.74%. Consequently,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VOC and FF are highly improved for the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solar cells with the tin(II) process.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7ED798FB" w14:textId="77777777" w:rsidR="009F4700" w:rsidRDefault="001C05CC" w:rsidP="009F4700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average J–V parameters of the mixed Pb-Sn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device with the tin(II) process of different SnCl2 concentration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are summarized in Table S1 in the Supporting Information.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It demonstrates that the perovskite device shows the highest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performance when the SnCl2 concentration is 0.06 mg mL−1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the in situ antisolvent process. J–V curves (under forward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reverse scanning) of champion mixed Pb-Sn low-bandgap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device treated with the tin(II) process under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100 mW cm−2 AM 1.5G illumination are shown in Figure 5a.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the forward scanning (from short-circuit to open-circuit),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VOC, JSC, and FF are 0.82 V, 29.14 mA cm−2, and 0.80,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respectively, with the PCE being 19.03%. For the reverse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scanning, it shows a VOC of 0.82 V, JSC of 28.26 mA cm−2,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FF of 0.79 resulting in a high PCE of 18.34%. The parameters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are summarized in Table 2. The FF of our champion device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is approaching 0.80 and the highest FF in our devices is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0.804 which is among the highest FF in highly efficient lowbandgap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Pb-Sn perovskite solar cells. The stabilized power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output at maximum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power point with a voltage bias under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1 sun AM 1.5G in the N2-filled glovebox is shown in Figure 5b.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After stabilization, it shows a PCE of 18.63%. The correspondent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incident photon-to-current efficiency (IPCE) of this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champion device is shown in Figure 5c, with an integrated Jsc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27.65 mA cm−2.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26E40FD3" w14:textId="77777777" w:rsidR="009F4700" w:rsidRDefault="001C05CC" w:rsidP="009F4700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understand the performance improvement benefiting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from the tin(II) process, the carrier extraction property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carrier lifetime in the device are characterized. The carrier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extraction property was characterized by transient photocurrent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(TPC) decay as shown in Figure 5d. The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device with the tin(II) process has a rapid TPC decay process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indicating that the carrier transport inside the bulk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film is faster than those devices without the tin(II) process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which can be explained by the enhanced carrier separation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extraction from the heterojunction at the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top region as discussed in the previous section. The carrier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lifetime was characterized by transient photovoltage (TPV)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decay. For the TPV measurement, the completed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device was kept under open circuit, a small ΔV induced by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laser pulse is detected by oscilloscope under illumination.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photovoltage decay curve in Figure S9b in the Supporting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Information shows that the perovskite device with the tin(II)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process has a longer carrier lifetime which is consistent with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longer carrier lifetime of perovskite film with the tin(II)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process from the TRPL characterization attributed to the passivation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from the quasi-core–shell structure. Moreover,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results of light-intensity-dependence J–V measurement discussed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Figure S9 of the Supporting Information indicate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that trap states of the perovskite films with the tin(II) process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are significantly passivated and the recombination process is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mainly bimolecular recombination beneficial from the passivation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effect of the quasi-core–shell structure. Consequently,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quasi-core–shell structure and vertical heterostructure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formed by the tin(II) process can effectively passivate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traps at the perovskite grain boundaries and promote the carrier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separation resulting in a longer carrier lifetime and a fast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carrier extraction, which result in highly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improved VOC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FF in the device.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05E98968" w14:textId="3014BEAF" w:rsidR="001C05CC" w:rsidRDefault="001C05CC" w:rsidP="009F4700">
      <w:pPr>
        <w:pStyle w:val="RSCB02ArticleText"/>
        <w:widowControl w:val="0"/>
        <w:spacing w:line="480" w:lineRule="auto"/>
        <w:ind w:firstLineChars="100" w:firstLine="259"/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perovskite film with the tin(II) process achieves a significant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improvement in the stability characterization. Figure 5e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shows the stability test of mixed Pb-Sn perovskite film with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without the tin(II) process in the nitrogen glovebox. The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device with the tin(II) process remains 92% of its initial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PCE after 22 days in the nitrogen glovebox. While, the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device without the tin(II) process degrades gradually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PCE becomes to only 56% of its initial PCE under the same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condition. The other parameters are shown in Figure S10 of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Supporting Information. The degradation of the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without the tin(II) process mainly comes from FF decay while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VOC and JSC degrade slightly for both perovskite devices without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with the tin(II) process. As discussed in previous section,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Sn2+ is easily oxidized to Sn4+ and the perovskite atoms at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grain boundaries have high energy to immigrate and is easy to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react with penetrated oxygen and water. The perovskite films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without the protection of core–shell structure formed by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tin(II) process degraded at the grain boundaries leading to carrier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recombination and current leakage which degrades the FF.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 the perovskite film with the tin(II) process, the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crystal is much more stable because excess tin(II) complex at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grain boundaries prevents the penetration of oxygen and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moisture, and hinders the ion immigration. Another stability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characterization is the continuous light illumination of encapsulated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device in the ambient air. The PCE degradation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curve is shown in Figure 5f. The results show that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PCE of the perovskite device without the tin(II) process degrade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quickly and has a lifetime around 30 h. Distinctly, the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device with the tin(II) process is very stable and shows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 longer lifetime up to 560 h. The tin(II) process remarkably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improves the perovskite lifetime by over 18.5-folds, which is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longest working lifetime under illumination of high-performance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mixed Pb-Sn low bandgap perovskite solar cells. Consequently,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quasi-core–shell structure effectively protects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perovskite film from the degradation from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lastRenderedPageBreak/>
        <w:t>the oxygen, water,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and light influence.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 </w:t>
      </w:r>
    </w:p>
    <w:p w14:paraId="007590E3" w14:textId="272307A8" w:rsidR="00410FAF" w:rsidRPr="00410FAF" w:rsidRDefault="00C66B39" w:rsidP="00410FAF">
      <w:pPr>
        <w:pStyle w:val="RSCB02ArticleText"/>
        <w:widowControl w:val="0"/>
        <w:spacing w:line="48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</w:pPr>
      <w:r w:rsidRPr="00410FAF"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  <w:t>Conclusion</w:t>
      </w:r>
      <w:r w:rsidR="007100A8" w:rsidRPr="00410FAF"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  <w:t xml:space="preserve"> </w:t>
      </w:r>
    </w:p>
    <w:p w14:paraId="405E5CA1" w14:textId="77777777" w:rsidR="001C05CC" w:rsidRDefault="001C05CC" w:rsidP="00410FAF">
      <w:pPr>
        <w:pStyle w:val="RSCB02ArticleText"/>
        <w:widowControl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In conclusion, we propose a novel in situ tin(II) complex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antisolvent treatment process for mixed Pb-Sn perovskite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achieve highly efficient and stable solar cells. With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approach, we demonstrate the uniquely combined material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system of quasi-core–shell structure offering grain boundary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passivation and heterojunction perovskite structure favoring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carrier extraction. The trap states at the grain boundaries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that lead to nonradiative recombination are effectively passivated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by the core–shell structure, resulting in a longer carrier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lifetime. The Sn vacancies are highly reduced attributed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to the excess Sn2+ ions in the grain boundary of the quasicore–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shell structure. Meanwhile, the heterojunction is intentionally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formed at perovskite top region benefiting the carrier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extraction in the device confirmed by TPC measurement.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champion device demonstrates high PCE more than 19% with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highest FF more than 0.804, which is among the highest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FF in high-performance Pb-Sn perovskite solar cells. Furthermore,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the stability of the perovskite device with the core–shell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structure is highly improved. The perovskite device with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tin(II) process remains 92% of its initial PCE after 22 days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storage in the nitrogen glovebox. Remarkably, the device fail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time under continuous illumination is significantly improved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over 18.5-folds from 30 to 560 h, which is the longest lifetime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under illumination of the highly efficient Pb-Sn low bandgap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perovskite solar cells.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</w:p>
    <w:p w14:paraId="4CAF15CD" w14:textId="77777777" w:rsidR="001C05CC" w:rsidRDefault="001C05CC" w:rsidP="00410FAF">
      <w:pPr>
        <w:pStyle w:val="RSCB02ArticleText"/>
        <w:widowControl w:val="0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</w:pPr>
    </w:p>
    <w:p w14:paraId="4B99C4AF" w14:textId="7F14668C" w:rsidR="00410FAF" w:rsidRDefault="00410FAF" w:rsidP="00410FAF">
      <w:pPr>
        <w:pStyle w:val="RSCB02ArticleText"/>
        <w:widowControl w:val="0"/>
        <w:spacing w:line="48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:lang w:val="en-US" w:eastAsia="zh-CN"/>
        </w:rPr>
        <w:t>Experimental section</w:t>
      </w:r>
    </w:p>
    <w:p w14:paraId="6DBD7094" w14:textId="77777777" w:rsidR="009F4700" w:rsidRDefault="001C05CC" w:rsidP="000D4E8A">
      <w:pPr>
        <w:pStyle w:val="Head1"/>
      </w:pPr>
      <w:r>
        <w:t>Materials: PbI2 (99.99%) was purchased from TCI. Methylammonium</w:t>
      </w:r>
      <w:r>
        <w:t xml:space="preserve"> </w:t>
      </w:r>
      <w:r>
        <w:t>iodide (MAI) and formamidinium iodide (FAI) were purchased from</w:t>
      </w:r>
      <w:r>
        <w:t xml:space="preserve"> </w:t>
      </w:r>
      <w:r>
        <w:t>Dyesol. C60 was purchased from Nichem. SnI2 (99.999%) and SnCl2</w:t>
      </w:r>
      <w:r>
        <w:t xml:space="preserve"> </w:t>
      </w:r>
      <w:r>
        <w:t xml:space="preserve">were purchased from Alfa Aesar. BCP was purchased from Acros. </w:t>
      </w:r>
      <w:r>
        <w:lastRenderedPageBreak/>
        <w:t>N,Ndimethylformamide</w:t>
      </w:r>
      <w:r>
        <w:t xml:space="preserve"> </w:t>
      </w:r>
      <w:r>
        <w:t>(DMF), dimethyl sulfoxide (DMSO), isopropyl</w:t>
      </w:r>
      <w:r>
        <w:t xml:space="preserve"> </w:t>
      </w:r>
      <w:r>
        <w:t>alcohol (IPA) were used as received from Acros. Anhydrous diethyl ether</w:t>
      </w:r>
      <w:r>
        <w:t xml:space="preserve"> </w:t>
      </w:r>
      <w:r>
        <w:t>was purchased from International Lab.</w:t>
      </w:r>
      <w:r>
        <w:t xml:space="preserve"> </w:t>
      </w:r>
    </w:p>
    <w:p w14:paraId="43AA1523" w14:textId="77777777" w:rsidR="009F4700" w:rsidRDefault="001C05CC" w:rsidP="000D4E8A">
      <w:pPr>
        <w:pStyle w:val="Head1"/>
      </w:pPr>
      <w:r>
        <w:t>Solar Cell Fabrication: For mixed Pb-Sn perovskite precursor, FAI</w:t>
      </w:r>
      <w:r>
        <w:t xml:space="preserve"> </w:t>
      </w:r>
      <w:r>
        <w:t>(120.4 mg), MAI (111.3 mg), SnI2 (261 mg), PbI2 (323 mg), SnF2</w:t>
      </w:r>
      <w:r>
        <w:t xml:space="preserve"> </w:t>
      </w:r>
      <w:r>
        <w:t>(11 mg), and Pb(SCN)2 (8 mg) were dissolved in 1 mL DMF and DMSO</w:t>
      </w:r>
      <w:r>
        <w:t xml:space="preserve"> </w:t>
      </w:r>
      <w:r>
        <w:t>mixture (volume ratio 4:1). The precursors were then filtered by 0.2 μm</w:t>
      </w:r>
      <w:r>
        <w:t xml:space="preserve"> </w:t>
      </w:r>
      <w:r>
        <w:t>polytetrafluoroethylene syringe filter before use. Patterned ITO glass</w:t>
      </w:r>
      <w:r>
        <w:t xml:space="preserve"> </w:t>
      </w:r>
      <w:r>
        <w:t>was washed sequentially in detergent, deionized (DI) water, acetone,</w:t>
      </w:r>
      <w:r>
        <w:t xml:space="preserve"> </w:t>
      </w:r>
      <w:r>
        <w:t>ethanol, and then dried by nitrogen gas. Later, the ITO was treated under</w:t>
      </w:r>
      <w:r>
        <w:t xml:space="preserve"> </w:t>
      </w:r>
      <w:r>
        <w:t>ultraviolet ozone (UVO) for 30 min. PEDOT:PSS AI4083 was spin-coated</w:t>
      </w:r>
      <w:r>
        <w:t xml:space="preserve"> </w:t>
      </w:r>
      <w:r>
        <w:t>onto ITO at 4000 rpm for 60 s and annealed at 150 °C for 10 min. The</w:t>
      </w:r>
      <w:r>
        <w:t xml:space="preserve"> </w:t>
      </w:r>
      <w:r>
        <w:t>perovskite precursor was spin-coated onto PEDOT film at 4000 rpm</w:t>
      </w:r>
      <w:r>
        <w:t xml:space="preserve"> </w:t>
      </w:r>
      <w:r>
        <w:t>for 60 s. At 30 s before the end of spin-coating process, 800 μL diethyl</w:t>
      </w:r>
      <w:r>
        <w:t xml:space="preserve"> </w:t>
      </w:r>
      <w:r>
        <w:t>ether was dropped on the substrate. For the perovskite film without the</w:t>
      </w:r>
      <w:r>
        <w:t xml:space="preserve"> </w:t>
      </w:r>
      <w:r>
        <w:t>tin(II) process, pure diethyl ether was used for the antisolvent process.</w:t>
      </w:r>
      <w:r>
        <w:t xml:space="preserve"> </w:t>
      </w:r>
      <w:r>
        <w:t>For the perovskite film with the tin(II) process, the SnCl2 in diethyl ether</w:t>
      </w:r>
      <w:r>
        <w:t xml:space="preserve"> </w:t>
      </w:r>
      <w:r>
        <w:t>with desired concentration was used for the antisolvent process. Then,</w:t>
      </w:r>
      <w:r>
        <w:t xml:space="preserve"> </w:t>
      </w:r>
      <w:r>
        <w:t>the perovskite film was kept at room temperature for 5 min and then</w:t>
      </w:r>
      <w:r>
        <w:t xml:space="preserve"> </w:t>
      </w:r>
      <w:r>
        <w:t>annealed at 100 °C for desired time. Afterward, C60 (40 nm) and BCP</w:t>
      </w:r>
      <w:r>
        <w:t xml:space="preserve"> </w:t>
      </w:r>
      <w:r>
        <w:t>(8 nm) were thermally evaporated. Finally, a 120 nm Ag electrode was</w:t>
      </w:r>
      <w:r>
        <w:t xml:space="preserve"> </w:t>
      </w:r>
      <w:r>
        <w:t>thermally evaporated onto the film.</w:t>
      </w:r>
      <w:r>
        <w:t xml:space="preserve"> </w:t>
      </w:r>
    </w:p>
    <w:p w14:paraId="7B9E41C8" w14:textId="77777777" w:rsidR="009F4700" w:rsidRDefault="001C05CC" w:rsidP="000D4E8A">
      <w:pPr>
        <w:pStyle w:val="Head1"/>
      </w:pPr>
      <w:r>
        <w:t>Measurement and Characterization: Simulated AM 1.5 sunlight was</w:t>
      </w:r>
      <w:r>
        <w:t xml:space="preserve"> </w:t>
      </w:r>
      <w:r>
        <w:t>generated by an Abet Class AAB AM 1.5G solar simulator. The light</w:t>
      </w:r>
      <w:r>
        <w:t xml:space="preserve"> </w:t>
      </w:r>
      <w:r>
        <w:t>intensity (100 mW cm−2) was calibrated by an ISO 17025-certified</w:t>
      </w:r>
      <w:r>
        <w:t xml:space="preserve"> </w:t>
      </w:r>
      <w:r>
        <w:t>KG3-filtered silicon reference cell. The J–V curve was recorded by a</w:t>
      </w:r>
      <w:r>
        <w:t xml:space="preserve"> </w:t>
      </w:r>
      <w:r>
        <w:t>Keithley 2635 sourcemeter. The area of solar cell was fixed at 0.06 cm2.</w:t>
      </w:r>
      <w:r>
        <w:t xml:space="preserve"> </w:t>
      </w:r>
      <w:r>
        <w:t>For precise measurement, a 0.0336 cm2 metal mask was used during the</w:t>
      </w:r>
      <w:r>
        <w:t xml:space="preserve"> </w:t>
      </w:r>
      <w:r>
        <w:t>J–V measurement. SEM images were recorded by a Hitachi S4800 FEG</w:t>
      </w:r>
      <w:r>
        <w:t xml:space="preserve"> </w:t>
      </w:r>
      <w:r>
        <w:t>SEM. The XRD spectrum was obtained using a Bruker D2 Phaser. IPCE</w:t>
      </w:r>
      <w:r>
        <w:t xml:space="preserve"> </w:t>
      </w:r>
      <w:r>
        <w:t>measurement was carried out by a home-built system with xenon lamp,</w:t>
      </w:r>
      <w:r>
        <w:t xml:space="preserve"> </w:t>
      </w:r>
      <w:r>
        <w:t>a monochromator (SpectraPro 2150i, Acton Research Corporation), a</w:t>
      </w:r>
      <w:r>
        <w:t xml:space="preserve"> </w:t>
      </w:r>
      <w:r>
        <w:t xml:space="preserve">chopper at 150 Hz, two optical filters (320 </w:t>
      </w:r>
      <w:r>
        <w:lastRenderedPageBreak/>
        <w:t>and 570 nm), and a lock-in</w:t>
      </w:r>
      <w:r>
        <w:t xml:space="preserve"> </w:t>
      </w:r>
      <w:r>
        <w:t>amplifier (SR830, Stanford Research Systems) together with a calibrated</w:t>
      </w:r>
      <w:r>
        <w:t xml:space="preserve"> </w:t>
      </w:r>
      <w:r>
        <w:t>silicon photodetector (Hamamatsu mono-Si cell) as the reference solar</w:t>
      </w:r>
      <w:r>
        <w:t xml:space="preserve"> </w:t>
      </w:r>
      <w:r>
        <w:t>cell. UV-vis absorption spectra were measured by a home-built setup.</w:t>
      </w:r>
      <w:r>
        <w:t xml:space="preserve"> </w:t>
      </w:r>
      <w:r>
        <w:t>The PL and time-resolved PL (TRPL) were investigated using PicoQaunt</w:t>
      </w:r>
      <w:r>
        <w:t xml:space="preserve"> </w:t>
      </w:r>
      <w:r>
        <w:t>FluoTime 300. The continuous light illumination stability characterization</w:t>
      </w:r>
      <w:r>
        <w:t xml:space="preserve"> </w:t>
      </w:r>
      <w:r>
        <w:t>was measured with Keithley 2635 with white light-emitting diode (LED)</w:t>
      </w:r>
      <w:r>
        <w:t xml:space="preserve"> </w:t>
      </w:r>
      <w:r>
        <w:t>as the light source. TPV measurements were conducted with a 532 nm</w:t>
      </w:r>
      <w:r>
        <w:t xml:space="preserve"> </w:t>
      </w:r>
      <w:r>
        <w:t>6 ps pulse width laser (130 μJ per pulse at 100 Hz) and recorded by a</w:t>
      </w:r>
      <w:r>
        <w:t xml:space="preserve"> </w:t>
      </w:r>
      <w:r>
        <w:t>4 GHz Keysight MSO9404A digital oscilloscope under 1 sun illumination</w:t>
      </w:r>
      <w:r>
        <w:t xml:space="preserve"> </w:t>
      </w:r>
      <w:r>
        <w:t>with white LED. TPC measurements were conducted with the same laser</w:t>
      </w:r>
      <w:r>
        <w:t xml:space="preserve"> </w:t>
      </w:r>
      <w:r>
        <w:t>and oscilloscope under 1 sun illumination with white LED.</w:t>
      </w:r>
      <w:r>
        <w:t xml:space="preserve"> </w:t>
      </w:r>
    </w:p>
    <w:p w14:paraId="400E5CB4" w14:textId="77777777" w:rsidR="009F4700" w:rsidRDefault="001C05CC" w:rsidP="000D4E8A">
      <w:pPr>
        <w:pStyle w:val="Head1"/>
      </w:pPr>
      <w:r>
        <w:t>For the TEM characterization, the diluted perovskite precursor was</w:t>
      </w:r>
      <w:r>
        <w:t xml:space="preserve"> </w:t>
      </w:r>
      <w:r>
        <w:t>directly spin-coated on the carbon-coated copper grid and the SnCl2 DE</w:t>
      </w:r>
      <w:r>
        <w:t xml:space="preserve"> </w:t>
      </w:r>
      <w:r>
        <w:t>solution was applied during the antisolvent process. Then the perovskite</w:t>
      </w:r>
      <w:r>
        <w:t xml:space="preserve"> </w:t>
      </w:r>
      <w:r>
        <w:t>film was annealed for 7 min and the same with normal film fabrication</w:t>
      </w:r>
      <w:r>
        <w:t xml:space="preserve"> </w:t>
      </w:r>
      <w:r>
        <w:t>process. The TEM sample was kept under nitrogen environment before</w:t>
      </w:r>
      <w:r>
        <w:t xml:space="preserve"> </w:t>
      </w:r>
      <w:r>
        <w:t>it was put into the TEM chamber.</w:t>
      </w:r>
      <w:r>
        <w:t xml:space="preserve"> </w:t>
      </w:r>
    </w:p>
    <w:p w14:paraId="68965426" w14:textId="77777777" w:rsidR="009F4700" w:rsidRDefault="001C05CC" w:rsidP="000D4E8A">
      <w:pPr>
        <w:pStyle w:val="Head1"/>
      </w:pPr>
      <w:r>
        <w:t>Dark carrier concentration was measured by physical property</w:t>
      </w:r>
      <w:r>
        <w:t xml:space="preserve"> </w:t>
      </w:r>
      <w:r>
        <w:t>measurement system with a magnetic field of 0.6 T. The Pb-Sn perovskite</w:t>
      </w:r>
      <w:r>
        <w:t xml:space="preserve"> </w:t>
      </w:r>
      <w:r>
        <w:t>sample was deposited on glass substrate and Au electrode in Van der</w:t>
      </w:r>
      <w:r>
        <w:t xml:space="preserve"> </w:t>
      </w:r>
      <w:r>
        <w:t>Pauw configuration was thermally evaporated. The UPS measurement</w:t>
      </w:r>
      <w:r>
        <w:t xml:space="preserve"> </w:t>
      </w:r>
      <w:r>
        <w:t>was performed on a PHI 5000 Versaprobe III instrument. The UPS</w:t>
      </w:r>
      <w:r>
        <w:t xml:space="preserve"> </w:t>
      </w:r>
      <w:r>
        <w:t>radiation was generated by a He-gas discharge lamp with energy of</w:t>
      </w:r>
      <w:r>
        <w:t xml:space="preserve"> </w:t>
      </w:r>
      <w:r>
        <w:t>21.12 eV. The perovskite film (without or with the tin(II) process) was</w:t>
      </w:r>
      <w:r>
        <w:t xml:space="preserve"> </w:t>
      </w:r>
      <w:r>
        <w:t>deposited on the ITO directly.</w:t>
      </w:r>
      <w:r>
        <w:t xml:space="preserve"> </w:t>
      </w:r>
    </w:p>
    <w:p w14:paraId="41F77DA2" w14:textId="02072EAD" w:rsidR="000D4E8A" w:rsidRPr="000D4E8A" w:rsidRDefault="001C05CC" w:rsidP="000D4E8A">
      <w:pPr>
        <w:pStyle w:val="Head1"/>
      </w:pPr>
      <w:r>
        <w:t>The ToF-SIMS measurement was performed on Physical Electronics</w:t>
      </w:r>
      <w:r>
        <w:t xml:space="preserve"> </w:t>
      </w:r>
      <w:r>
        <w:t>7200 ToF-SIMS spectrometer. The sample had a stack structure of BCP/</w:t>
      </w:r>
      <w:r>
        <w:t xml:space="preserve"> </w:t>
      </w:r>
      <w:r>
        <w:t>C60/perovskite film without or with the tin(II) process/PEDOT:PSS/</w:t>
      </w:r>
      <w:r>
        <w:t xml:space="preserve"> </w:t>
      </w:r>
      <w:r>
        <w:t>ITO.</w:t>
      </w:r>
      <w:r>
        <w:t xml:space="preserve"> </w:t>
      </w:r>
    </w:p>
    <w:p w14:paraId="61B1A022" w14:textId="14775B55" w:rsidR="00F52B21" w:rsidRPr="000D4E8A" w:rsidRDefault="00F52B21" w:rsidP="000D4E8A">
      <w:pPr>
        <w:pStyle w:val="Head1"/>
        <w:rPr>
          <w:b/>
          <w:bCs w:val="0"/>
        </w:rPr>
      </w:pPr>
      <w:r w:rsidRPr="000D4E8A">
        <w:rPr>
          <w:b/>
          <w:bCs w:val="0"/>
        </w:rPr>
        <w:t>Supporting Information</w:t>
      </w:r>
    </w:p>
    <w:p w14:paraId="17642C77" w14:textId="0E4C63D9" w:rsidR="00415AE8" w:rsidRDefault="00415AE8" w:rsidP="000D4E8A">
      <w:pPr>
        <w:pStyle w:val="Head1"/>
        <w:rPr>
          <w:b/>
        </w:rPr>
      </w:pPr>
      <w:r w:rsidRPr="00415AE8">
        <w:lastRenderedPageBreak/>
        <w:t>Supporting Information is available from the Wiley Online Library or</w:t>
      </w:r>
      <w:r w:rsidR="000D4E8A">
        <w:t xml:space="preserve"> </w:t>
      </w:r>
      <w:r w:rsidRPr="00415AE8">
        <w:t>from the author.</w:t>
      </w:r>
    </w:p>
    <w:p w14:paraId="0C9F7ECC" w14:textId="304B3A82" w:rsidR="002C0143" w:rsidRPr="000D4E8A" w:rsidRDefault="006935D5" w:rsidP="000D4E8A">
      <w:pPr>
        <w:pStyle w:val="Head1"/>
        <w:rPr>
          <w:b/>
          <w:bCs w:val="0"/>
        </w:rPr>
      </w:pPr>
      <w:r w:rsidRPr="000D4E8A">
        <w:rPr>
          <w:b/>
          <w:bCs w:val="0"/>
        </w:rPr>
        <w:t>Acknowledgements</w:t>
      </w:r>
    </w:p>
    <w:p w14:paraId="7F27EEDD" w14:textId="77777777" w:rsidR="001C05CC" w:rsidRDefault="001C05CC" w:rsidP="000D4E8A">
      <w:pPr>
        <w:pStyle w:val="Head1"/>
        <w:rPr>
          <w:rFonts w:eastAsiaTheme="minorEastAsia"/>
        </w:rPr>
      </w:pPr>
      <w:r w:rsidRPr="001C05CC">
        <w:rPr>
          <w:rFonts w:eastAsiaTheme="minorEastAsia"/>
        </w:rPr>
        <w:t>This research was supported by the University Grant Council of the</w:t>
      </w:r>
      <w:r>
        <w:rPr>
          <w:rFonts w:eastAsiaTheme="minorEastAsia"/>
        </w:rPr>
        <w:t xml:space="preserve"> </w:t>
      </w:r>
      <w:r w:rsidRPr="001C05CC">
        <w:rPr>
          <w:rFonts w:eastAsiaTheme="minorEastAsia"/>
        </w:rPr>
        <w:t>University of Hong Kong (Grant# 201711159074, 201811159147), the</w:t>
      </w:r>
      <w:r>
        <w:rPr>
          <w:rFonts w:eastAsiaTheme="minorEastAsia"/>
        </w:rPr>
        <w:t xml:space="preserve"> </w:t>
      </w:r>
      <w:r w:rsidRPr="001C05CC">
        <w:rPr>
          <w:rFonts w:eastAsiaTheme="minorEastAsia"/>
        </w:rPr>
        <w:t>General Research Fund (Grant 17201819, 17204117, and 17200518)</w:t>
      </w:r>
      <w:r>
        <w:rPr>
          <w:rFonts w:eastAsiaTheme="minorEastAsia"/>
        </w:rPr>
        <w:t xml:space="preserve"> </w:t>
      </w:r>
      <w:r w:rsidRPr="001C05CC">
        <w:rPr>
          <w:rFonts w:eastAsiaTheme="minorEastAsia"/>
        </w:rPr>
        <w:t>from the Research Grants Council of Hong Kong Special Administrative</w:t>
      </w:r>
      <w:r>
        <w:rPr>
          <w:rFonts w:eastAsiaTheme="minorEastAsia"/>
        </w:rPr>
        <w:t xml:space="preserve"> </w:t>
      </w:r>
      <w:r w:rsidRPr="001C05CC">
        <w:rPr>
          <w:rFonts w:eastAsiaTheme="minorEastAsia"/>
        </w:rPr>
        <w:t>Region, China.</w:t>
      </w:r>
      <w:r>
        <w:rPr>
          <w:rFonts w:eastAsiaTheme="minorEastAsia"/>
        </w:rPr>
        <w:t xml:space="preserve"> </w:t>
      </w:r>
    </w:p>
    <w:p w14:paraId="234B3891" w14:textId="3B567735" w:rsidR="00415AE8" w:rsidRPr="000D4E8A" w:rsidRDefault="00415AE8" w:rsidP="000D4E8A">
      <w:pPr>
        <w:pStyle w:val="Head1"/>
        <w:rPr>
          <w:b/>
          <w:bCs w:val="0"/>
        </w:rPr>
      </w:pPr>
      <w:r w:rsidRPr="000D4E8A">
        <w:rPr>
          <w:b/>
          <w:bCs w:val="0"/>
        </w:rPr>
        <w:t>Conflict of interest</w:t>
      </w:r>
    </w:p>
    <w:p w14:paraId="17C5D630" w14:textId="77777777" w:rsidR="00415AE8" w:rsidRDefault="00415AE8" w:rsidP="00415AE8">
      <w:pPr>
        <w:pStyle w:val="MainText"/>
        <w:jc w:val="both"/>
        <w:rPr>
          <w:color w:val="000000" w:themeColor="text1"/>
        </w:rPr>
      </w:pPr>
      <w:r w:rsidRPr="00437A3E">
        <w:rPr>
          <w:color w:val="000000" w:themeColor="text1"/>
        </w:rPr>
        <w:t>The authors declare no conflict of interest.</w:t>
      </w:r>
    </w:p>
    <w:p w14:paraId="532E011C" w14:textId="77777777" w:rsidR="001C05CC" w:rsidRDefault="001C05CC" w:rsidP="00415AE8">
      <w:pPr>
        <w:pStyle w:val="MainText"/>
        <w:jc w:val="both"/>
        <w:rPr>
          <w:color w:val="000000" w:themeColor="text1"/>
        </w:rPr>
      </w:pPr>
    </w:p>
    <w:p w14:paraId="5F40D028" w14:textId="77777777" w:rsidR="001C05CC" w:rsidRPr="001C05CC" w:rsidRDefault="001C05CC" w:rsidP="001C05CC">
      <w:pPr>
        <w:pStyle w:val="MainText"/>
        <w:jc w:val="both"/>
        <w:rPr>
          <w:rFonts w:eastAsia="Malgun Gothic"/>
          <w:b/>
          <w:bCs/>
          <w:color w:val="000000" w:themeColor="text1"/>
          <w:lang w:val="en-HK" w:eastAsia="ko-KR"/>
        </w:rPr>
      </w:pPr>
      <w:r w:rsidRPr="001C05CC">
        <w:rPr>
          <w:rFonts w:eastAsia="Malgun Gothic"/>
          <w:b/>
          <w:bCs/>
          <w:color w:val="000000" w:themeColor="text1"/>
          <w:lang w:val="en-HK" w:eastAsia="ko-KR"/>
        </w:rPr>
        <w:t>Keywords</w:t>
      </w:r>
    </w:p>
    <w:p w14:paraId="39DD3126" w14:textId="625B788E" w:rsidR="00E77445" w:rsidRPr="00437A3E" w:rsidRDefault="001C05CC" w:rsidP="001C05CC">
      <w:pPr>
        <w:pStyle w:val="MainText"/>
        <w:jc w:val="both"/>
        <w:rPr>
          <w:rFonts w:eastAsia="Malgun Gothic"/>
          <w:color w:val="000000" w:themeColor="text1"/>
          <w:lang w:val="en-HK" w:eastAsia="ko-KR"/>
        </w:rPr>
      </w:pPr>
      <w:r w:rsidRPr="001C05CC">
        <w:rPr>
          <w:rFonts w:eastAsia="Malgun Gothic"/>
          <w:color w:val="000000" w:themeColor="text1"/>
          <w:lang w:val="en-HK" w:eastAsia="ko-KR"/>
        </w:rPr>
        <w:t>grain boundary passivation, mixed Pb-Sn perovskite solar cells, perovskite</w:t>
      </w:r>
      <w:r>
        <w:rPr>
          <w:rFonts w:eastAsia="Malgun Gothic"/>
          <w:color w:val="000000" w:themeColor="text1"/>
          <w:lang w:val="en-HK" w:eastAsia="ko-KR"/>
        </w:rPr>
        <w:t xml:space="preserve"> </w:t>
      </w:r>
      <w:r w:rsidRPr="001C05CC">
        <w:rPr>
          <w:rFonts w:eastAsia="Malgun Gothic"/>
          <w:color w:val="000000" w:themeColor="text1"/>
          <w:lang w:val="en-HK" w:eastAsia="ko-KR"/>
        </w:rPr>
        <w:t>heterostructures, quasi-core–shell structures</w:t>
      </w:r>
    </w:p>
    <w:p w14:paraId="1B51CDA1" w14:textId="77777777" w:rsidR="00FD6058" w:rsidRPr="00437A3E" w:rsidRDefault="00FD6058" w:rsidP="00AF7E49">
      <w:pPr>
        <w:pStyle w:val="MainText"/>
        <w:jc w:val="both"/>
        <w:rPr>
          <w:color w:val="000000" w:themeColor="text1"/>
          <w:lang w:val="en-HK"/>
        </w:rPr>
      </w:pPr>
    </w:p>
    <w:p w14:paraId="2C4A6804" w14:textId="77777777" w:rsidR="00295925" w:rsidRPr="00437A3E" w:rsidRDefault="007A650B" w:rsidP="00AF7E49">
      <w:pPr>
        <w:pStyle w:val="MainText"/>
        <w:jc w:val="both"/>
        <w:rPr>
          <w:b/>
          <w:color w:val="000000" w:themeColor="text1"/>
          <w:sz w:val="28"/>
          <w:szCs w:val="28"/>
        </w:rPr>
      </w:pPr>
      <w:r w:rsidRPr="00437A3E">
        <w:rPr>
          <w:b/>
          <w:color w:val="000000" w:themeColor="text1"/>
          <w:sz w:val="28"/>
          <w:szCs w:val="28"/>
        </w:rPr>
        <w:t>References</w:t>
      </w:r>
    </w:p>
    <w:p w14:paraId="40C8CC67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1] S. D. Stranks, G. E. Eperon, G. Grancini, C. Menelaou, M. J. Alcocer,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T. Leijtens, L. M. Herz, A. Petrozza, H. J. Snaith, Science 2013, 342,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341.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F6DBD58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2] J. Burschka, N. Pellet, S. J. Moon, R. Humphry-Baker, P. Gao,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M. K. Nazeeruddin, M. Gratzel, Nature 2013, 499, 316.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0A21CF3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3] D. W. Zhao, Y. Yu, C. L. Wang, W. Q. Liao, N. Shrestha, C. R. Grice,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A. J. Cimaroli, L. Guan, R. J. Ellingson, K. Zhu, X. Z. Zhao,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R. G. Xiong, Y. F. Yan, Nat. Energy 2017, 2, 17018.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A01B45F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4] H. Chen, F. Ye, W. Tang, J. He, M. Yin, Y. Wang, F. Xie, E. Bi,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X. Yang, M. Gratzel, L. Han, Nature 2017, 550, 92.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56E9D9D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5] J. Tong, Z. Song, D. H. Kim, X. Chen, C. Chen, A. F. Palmstrom,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P. F. Ndione, M. O. Reese, S. P. Dunfield, O. G. Reid, J. Liu,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 xml:space="preserve">F. Zhang, S. P. Harvey, Z. Li, S. T. Christensen, G. Teeter, </w:t>
      </w:r>
      <w:r w:rsidRPr="001C05CC">
        <w:rPr>
          <w:rFonts w:eastAsiaTheme="minorEastAsia"/>
          <w:color w:val="000000" w:themeColor="text1"/>
          <w:lang w:eastAsia="zh-CN"/>
        </w:rPr>
        <w:lastRenderedPageBreak/>
        <w:t>D. Zhao,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M. M. Al-Jassim, M. van Hest, M. C. Beard, S. E. Shaheen,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J. J. Berry, Y. Yan, K. Zhu, Science 2019, 364, 475.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CC30911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6] H. Zhang, J. Cheng, D. Li, F. Lin, J. Mao, C. Liang, A. K. Y. Jen,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M. Grätzel, W. C. Choy, Adv. Mater. 2017, 29, 1604695.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421CA99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7] C. Li, Y. Li, Y. Xing, Z. Zhang, X. Zhang, Z. Li, Y. Shi, T. Ma, R. Ma,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K. Wang, J. Wei, ACS Appl. Mater. Interfaces 2015, 7, 15117.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02D8ACB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8] W. E. I. Sha, X. G. Ren, L. Z. Chen, W. C. H. Choy, Appl. Phys. Lett.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2015, 106, 221104.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089086D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9] X. G. Ren, Z. S. Wang, W. E. I. Sha, W. C. H. Choy, ACS Photonics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2017, 4, 934.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8265AB9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10] C. Li, Z. S. Wang, H. L. Zhu, D. Zhang, J. Q. Cheng, H. Lin,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D. Ouyang, W. C. H. Choy, Adv. Energy Mater. 2018, 8, 1801954.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EA43C60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11] D. W. Zhao, C. Chen, C. L. Wang, M. M. Junda, Z. N. Song,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C. R. Grice, Y. Yu, C. W. Li, B. Subedi, N. J. Podraza, X. Z. Zhao,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G. J. Fang, R. G. Xiong, K. Zhu, Y. F. Yan, Nat. Energy 2018, 3, 1093.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B5A706A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12] A. Rajagopal, Z. Yang, S. B. Jo, I. L. Braly, P. W. Liang,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H. W. Hillhouse, A. K. Jen, Adv. Mater. 2017, 29, 1702140.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C80AC3F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13] D. Forgacs, L. Gil-Escrig, D. Perez-Del-Rey, C. Momblona, J. Werner,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B. Niesen, C. Ballif, M. Sessolo, H. J. Bolink, Adv. Energy Mater.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2017, 7, 1602121.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4C20145B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14] J. Ávila, C. Momblona, P. Boix, M. Sessolo, M. Anaya, G. Lozano,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K. Vandewal, H. Míguez, H. J. Bolink, Energy Environ. Sci. 2018, 11,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3292.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858EDAF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15] G. E. Eperon, T. Leijtens, K. A. Bush, R. Prasanna, T. Green,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J. T. Wang, D. P. McMeekin, G. Volonakis, R. L. Milot, R. May,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A. Palmstrom, D. J. Slotcavage, R. A. Belisle, J. B. Patel, E. S. Parrott,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R. J. Sutton, W. Ma, F. Moghadam, B. Conings, A. Babayigit,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H. G. Boyen, S. Bent, F. Giustino, L. M. Herz, M. B. Johnston,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M. D. McGehee, H. J. Snaith, Science 2016, 354, 861.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8A56039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16] F. Hao, C. C. Stoumpos, R. P. Chang, M. G. Kanatzidis, J. Am.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Chem. Soc. 2014, 136, 8094.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BE0F9B2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lastRenderedPageBreak/>
        <w:t>[</w:t>
      </w:r>
      <w:r w:rsidRPr="001C05CC">
        <w:rPr>
          <w:rFonts w:eastAsiaTheme="minorEastAsia"/>
          <w:color w:val="000000" w:themeColor="text1"/>
          <w:lang w:eastAsia="zh-CN"/>
        </w:rPr>
        <w:t>17] X. B. Xu, C. C. Chueh, Z. B. Yang, A. Rajagopal, J. Q. Xu, S. B. Jo,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A. K. Y. Jen, Nano Energy 2017, 34, 392.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D0AEFA1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18] W. Liao, D. Zhao, Y. Yu, C. R. Grice, C. Wang, A. J. Cimaroli,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P. Schulz, W. Meng, K. Zhu, R. G. Xiong, Y. Yan, Adv. Mater. 2016,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28, 9333.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C7C2E34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19] M. H. Kumar, S. Dharani, W. L. Leong, P. P. Boix, R. R. Prabhakar,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T. Baikie, C. Shi, H. Ding, R. Ramesh, M. Asta, M. Graetzel,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S. G. Mhaisalkar, N. Mathews, Adv. Mater. 2014, 26, 7122.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5EDBB8A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20] S. J. Lee, S. S. Shin, Y. C. Kim, D. Kim, T. K. Ahn, J. H. Noh, J. Seo,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S. I. Seok, J. Am. Chem. Soc. 2016, 138, 3974.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7E4C477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21] Y. Zong, Z. Zhou, M. Chen, N. P. Padture, Y. Zhou, Adv. Energy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Mater. 2018, 8, 1800997.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68657069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22] J. H. Heo, J. Kim, H. Kim, S. H. Moon, S. H. Im, K. H. Hong,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J. Phys. Chem. Lett. 2018, 9, 6024.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A01E8CD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23] K. Marshall, M. Walker, R. Walton, R. Hatton, Nat. Energy 2016, 1,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16178.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719F204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24] W. Liao, D. Zhao, Y. Yu, N. Shrestha, K. Ghimire, C. R. Grice,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C. Wang, Y. Xiao, A. J. Cimaroli, R. J. Ellingson, N. J. Podraza,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K. Zhu, R. G. Xiong, Y. Yan, J. Am. Chem. Soc. 2016, 138, 12360.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3C14C5A8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25] T. Yokoyama, D. H. Cao, C. C. Stoumpos, T. B. Song, Y. Sato,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S. Aramaki, M. G. Kanatzidis, J. Phys. Chem. Lett. 2016, 7, 776.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27E582EE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26] T. Liu, Y. Zhou, Z. Li, L. Zhang, M. G. Ju, D. Luo, Y. Yang, M. Yang,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D. H. Kim, W. Yang, Adv. Energy Mater. 2018, 8, 1800232.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D83E421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27] K. H. Stone, A. Gold-Parker, V. L. Pool, E. L. Unger, A. R. Bowring,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M. D. McGehee, M. F. Toney, C. J. Tassone, Nat. Commun. 2018, 9,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3458.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0FA2D440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28] J. T. W. Wang, Z. P. Wang, S. Pathak, W. Zhang, D. W. deQuilettes,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F. Wisnivesky-Rocca-Rivarola, J. Huang, P. K. Nayak, J. B. Patel,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H. A. M. Yusof, Y. Vaynzof, R. Zhu, I. Ramirez, J. Zhang, C. Ducati,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C. Grovenor, M. B. Johnston, D. S. Ginger, R. J. Nicholas,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H. J. Snaith, Energy Environ. Sci. 2016, 9, 2892.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13F8D7A5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lastRenderedPageBreak/>
        <w:t>[</w:t>
      </w:r>
      <w:r w:rsidRPr="001C05CC">
        <w:rPr>
          <w:rFonts w:eastAsiaTheme="minorEastAsia"/>
          <w:color w:val="000000" w:themeColor="text1"/>
          <w:lang w:eastAsia="zh-CN"/>
        </w:rPr>
        <w:t>29] T. H. Han, J. W. Lee, C. Choi, S. Tan, C. Lee, Y. Zhao, Z. Dai,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N. De Marco, S. J. Lee, S. H. Bae, Y. Yuan, H. M. Lee, Y. Huang,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Y. Yang, Nat. Commun. 2019, 10, 520.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EDADFC1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30] Z. Yang, A. Rajagopal, C. C. Chueh, S. B. Jo, B. Liu, T. Zhao,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A. K. Jen, Adv. Mater. 2016, 28, 8990.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D5102CC" w14:textId="77777777" w:rsidR="001C05CC" w:rsidRDefault="001C05CC" w:rsidP="005D70C3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31] S. Y. Shao, J. Liu, G. Portale, H. H. Fang, G. R. Blake, G. H. ten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Brink, L. J. A. Koster, M. A. Loi, Adv. Energy Mater. 2018, 8,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1702019.</w:t>
      </w:r>
      <w:r>
        <w:rPr>
          <w:rFonts w:eastAsiaTheme="minorEastAsia"/>
          <w:color w:val="000000" w:themeColor="text1"/>
          <w:lang w:eastAsia="zh-CN"/>
        </w:rPr>
        <w:t xml:space="preserve"> </w:t>
      </w:r>
    </w:p>
    <w:p w14:paraId="7E860C7C" w14:textId="27E53F93" w:rsidR="00EB07C2" w:rsidRPr="00437A3E" w:rsidRDefault="001C05CC" w:rsidP="005D70C3">
      <w:pPr>
        <w:spacing w:line="480" w:lineRule="auto"/>
        <w:jc w:val="both"/>
        <w:rPr>
          <w:color w:val="000000" w:themeColor="text1"/>
        </w:rPr>
      </w:pPr>
      <w:r>
        <w:rPr>
          <w:rFonts w:eastAsiaTheme="minorEastAsia"/>
          <w:color w:val="000000" w:themeColor="text1"/>
          <w:lang w:eastAsia="zh-CN"/>
        </w:rPr>
        <w:t>[</w:t>
      </w:r>
      <w:r w:rsidRPr="001C05CC">
        <w:rPr>
          <w:rFonts w:eastAsiaTheme="minorEastAsia"/>
          <w:color w:val="000000" w:themeColor="text1"/>
          <w:lang w:eastAsia="zh-CN"/>
        </w:rPr>
        <w:t>32] C. W. Li, Z. N. Song, D. W. Zhao, C. X. Xiao, B. Subedi, N. Shrestha,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M. M. Junda, C. L. Wang, C. S. Jiang, M. Al-Jassim, R. J. Ellingson,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N. J. Podraza, K. Zhu, Y. F. Yan, Adv. Energy Mater. 2019, 9,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Pr="001C05CC">
        <w:rPr>
          <w:rFonts w:eastAsiaTheme="minorEastAsia"/>
          <w:color w:val="000000" w:themeColor="text1"/>
          <w:lang w:eastAsia="zh-CN"/>
        </w:rPr>
        <w:t>1803135.</w:t>
      </w:r>
      <w:r>
        <w:rPr>
          <w:rFonts w:eastAsiaTheme="minorEastAsia"/>
          <w:color w:val="000000" w:themeColor="text1"/>
          <w:lang w:eastAsia="zh-CN"/>
        </w:rPr>
        <w:t xml:space="preserve"> </w:t>
      </w:r>
      <w:r w:rsidR="00EB07C2" w:rsidRPr="00437A3E">
        <w:rPr>
          <w:color w:val="000000" w:themeColor="text1"/>
        </w:rPr>
        <w:br w:type="page"/>
      </w:r>
    </w:p>
    <w:p w14:paraId="20213DEC" w14:textId="77777777" w:rsidR="00E77445" w:rsidRDefault="00E77445" w:rsidP="001138B8">
      <w:pPr>
        <w:pStyle w:val="RSCB02ArticleText"/>
        <w:spacing w:line="480" w:lineRule="auto"/>
        <w:rPr>
          <w:b/>
          <w:noProof/>
          <w:color w:val="000000" w:themeColor="text1"/>
          <w:lang w:eastAsia="zh-CN"/>
        </w:rPr>
      </w:pPr>
    </w:p>
    <w:p w14:paraId="263ECFB7" w14:textId="35CE674F" w:rsidR="001138B8" w:rsidRPr="00437A3E" w:rsidRDefault="001C05CC" w:rsidP="001138B8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1C05CC">
        <w:rPr>
          <w:b/>
          <w:noProof/>
          <w:color w:val="000000" w:themeColor="text1"/>
          <w:lang w:eastAsia="zh-CN"/>
        </w:rPr>
        <w:drawing>
          <wp:inline distT="0" distB="0" distL="0" distR="0" wp14:anchorId="45BC65C1" wp14:editId="47177332">
            <wp:extent cx="5760720" cy="3698875"/>
            <wp:effectExtent l="0" t="0" r="0" b="0"/>
            <wp:docPr id="25063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59B3" w14:textId="71E6BA4A" w:rsidR="001138B8" w:rsidRPr="00E77445" w:rsidRDefault="001C05CC" w:rsidP="001C05CC">
      <w:pPr>
        <w:pStyle w:val="RSCB02ArticleText"/>
        <w:spacing w:line="480" w:lineRule="auto"/>
        <w:rPr>
          <w:rFonts w:ascii="Times New Roman" w:hAnsi="Times New Roman"/>
          <w:b/>
          <w:bCs/>
          <w:color w:val="000000" w:themeColor="text1"/>
          <w:sz w:val="24"/>
          <w:szCs w:val="24"/>
          <w:lang w:val="en-HK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Figure 1. a) Schematic diagram of the in-situ tin(II) complex antisolvent process for mixed Pb–Sn low-bandgap perovskite films; the inset image is the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SnCl2 DEE solution. b) The images of fresh perovskite film without and with the tin(II) process (both without annealing). c) X-ray diffraction spectra</w:t>
      </w:r>
      <w:r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US" w:eastAsia="zh-CN"/>
        </w:rPr>
        <w:t>of perovskite film without and with the tin(II) process.</w:t>
      </w:r>
    </w:p>
    <w:p w14:paraId="58FB54CC" w14:textId="77777777" w:rsidR="000A1F8B" w:rsidRDefault="000A1F8B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747360DD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BC001B8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2BB37CF0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F7F1BC8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763A347E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A942A5C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31B71135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66B6980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55C9ABA" w14:textId="14ED6EA4" w:rsidR="00842F4F" w:rsidRDefault="001C05CC" w:rsidP="001C05CC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1C05CC">
        <w:rPr>
          <w:rFonts w:ascii="Times New Roman" w:hAnsi="Times New Roman"/>
          <w:noProof/>
          <w:color w:val="000000" w:themeColor="text1"/>
          <w:sz w:val="24"/>
          <w:szCs w:val="24"/>
          <w:lang w:val="en-HK" w:eastAsia="zh-CN"/>
        </w:rPr>
        <w:lastRenderedPageBreak/>
        <w:drawing>
          <wp:inline distT="0" distB="0" distL="0" distR="0" wp14:anchorId="68A569E1" wp14:editId="4771BAAF">
            <wp:extent cx="5760720" cy="4611370"/>
            <wp:effectExtent l="0" t="0" r="0" b="0"/>
            <wp:docPr id="21290042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Figure 2. SEM of perovskite film a) without and b) with the tin(II) process; c) low and d) high magnification TEM of perovskite film with the tin(II)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process at different area; site 1 is the boundary region for EDS characterization and site 2 is the perovskite crystal region for EDS characterization.</w:t>
      </w:r>
    </w:p>
    <w:p w14:paraId="28199EFC" w14:textId="77777777" w:rsidR="00415AE8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4766255" w14:textId="77777777" w:rsidR="00415AE8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2F3EC51" w14:textId="77777777" w:rsidR="00415AE8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1C4F49E4" w14:textId="77777777" w:rsidR="00415AE8" w:rsidRPr="00437A3E" w:rsidRDefault="00415AE8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3D43C5E" w14:textId="5B6B13B6" w:rsidR="00842F4F" w:rsidRPr="00437A3E" w:rsidRDefault="001C05CC" w:rsidP="00842F4F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1C05CC">
        <w:rPr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3F86C8A2" wp14:editId="3F3AD032">
            <wp:extent cx="5760720" cy="3651885"/>
            <wp:effectExtent l="0" t="0" r="0" b="5715"/>
            <wp:docPr id="10699559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C8931" w14:textId="774CBF07" w:rsidR="00842F4F" w:rsidRDefault="001C05CC" w:rsidP="001C05CC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Figure 3. Cross-section SEM of perovskite film a) without and b) with the tin(II) process; the yellow marker demonstrates tin(II) complex at the grain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boundaries across the vertical direction. c) ToF-SIMS depth profile of perovskite film with the tin(II) process with the structure of BCP/C60/perovskite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film with the tin(II) process/PEDOT/ITO. d) Schematic diagram of perovskite morphology with heterostructure of larger crystals at the bottom region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and small crystals at the top region.</w:t>
      </w:r>
    </w:p>
    <w:p w14:paraId="57D9D4F1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3732277A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08D0E422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5580F529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634F1D6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C3EC1FF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1305A1B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791733D4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5EA3270A" w14:textId="77777777" w:rsidR="00415AE8" w:rsidRP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193D2DF0" w14:textId="77777777" w:rsidR="00842F4F" w:rsidRDefault="00842F4F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7CB6C36E" w14:textId="77777777" w:rsidR="00842F4F" w:rsidRPr="00437A3E" w:rsidRDefault="00842F4F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5B053473" w14:textId="3D8DF0E3" w:rsidR="00842F4F" w:rsidRPr="00437A3E" w:rsidRDefault="001C05CC" w:rsidP="00842F4F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1C05CC">
        <w:rPr>
          <w:b/>
          <w:noProof/>
          <w:color w:val="000000" w:themeColor="text1"/>
          <w:lang w:eastAsia="zh-CN"/>
        </w:rPr>
        <w:drawing>
          <wp:inline distT="0" distB="0" distL="0" distR="0" wp14:anchorId="164C2333" wp14:editId="0F2A613F">
            <wp:extent cx="5760720" cy="1438275"/>
            <wp:effectExtent l="0" t="0" r="0" b="9525"/>
            <wp:docPr id="457003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163C" w14:textId="19B004FA" w:rsidR="00842F4F" w:rsidRDefault="001C05CC" w:rsidP="001C05CC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Figure 4. a) TRPL and b) absorbance spectra of reference perovskite films without the tin(II) process and perovskite films with the tin(II) process;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c) energy band alignment of perovskite film with and without the tin(II) process and other layers employed in this work. The valence-band edges are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calculated from UPS. The conduction bandgap edge is calculated together with the bandgap energy.</w:t>
      </w:r>
    </w:p>
    <w:p w14:paraId="4A098DFE" w14:textId="77777777" w:rsid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CE7C113" w14:textId="77777777" w:rsid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3CFC350" w14:textId="77777777" w:rsid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6499BFDA" w14:textId="77777777" w:rsid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3CECC8FC" w14:textId="77777777" w:rsidR="00E77445" w:rsidRPr="00E77445" w:rsidRDefault="00E77445" w:rsidP="00415AE8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1EB71686" w14:textId="77777777" w:rsidR="00415AE8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41F8AA52" w14:textId="37B6AFFF" w:rsidR="00415AE8" w:rsidRPr="00437A3E" w:rsidRDefault="001C05CC" w:rsidP="00415AE8">
      <w:pPr>
        <w:pStyle w:val="RSCB02ArticleText"/>
        <w:spacing w:line="480" w:lineRule="auto"/>
        <w:rPr>
          <w:b/>
          <w:color w:val="000000" w:themeColor="text1"/>
          <w:lang w:eastAsia="zh-CN"/>
        </w:rPr>
      </w:pPr>
      <w:r w:rsidRPr="001C05CC">
        <w:rPr>
          <w:b/>
          <w:noProof/>
          <w:color w:val="000000" w:themeColor="text1"/>
          <w:lang w:eastAsia="zh-CN"/>
        </w:rPr>
        <w:lastRenderedPageBreak/>
        <w:drawing>
          <wp:inline distT="0" distB="0" distL="0" distR="0" wp14:anchorId="173BE6A7" wp14:editId="1E40A7EF">
            <wp:extent cx="5760720" cy="2974340"/>
            <wp:effectExtent l="0" t="0" r="0" b="0"/>
            <wp:docPr id="20491589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AF356" w14:textId="22B6BB8E" w:rsidR="00415AE8" w:rsidRPr="00437A3E" w:rsidRDefault="001C05CC" w:rsidP="001C05CC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Figure 5. a) Light J–V curves of champion-mixed Pb–Sn perovskite device with the tin(II) process with forward (from short circuit to open circuit)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scanning (FWD) and reverse (from open circuit to short circuit) scanning (REV) under 100 mW cm−2 AM 1.5G illumination; b) stabilized power output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under voltage bias at maximum power point of the champion device under 100 mW cm−2 AM 1.5G illumination; c) IPCE of champion device; d) TPC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decay curve of perovskite device without and with the tin(II) process; the PCE decay of perovskite device e) without and with the tin(II) process stored</w:t>
      </w:r>
      <w:r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 xml:space="preserve"> </w:t>
      </w:r>
      <w:r w:rsidRPr="001C05CC"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  <w:t>in nitrogen glove box and f) under continuous illumination in the ambient air after encapsulation.</w:t>
      </w:r>
    </w:p>
    <w:p w14:paraId="0B9A854E" w14:textId="77777777" w:rsidR="00415AE8" w:rsidRPr="00437A3E" w:rsidRDefault="00415AE8" w:rsidP="00842F4F">
      <w:pPr>
        <w:pStyle w:val="RSCB02ArticleText"/>
        <w:spacing w:line="480" w:lineRule="auto"/>
        <w:rPr>
          <w:rFonts w:ascii="Times New Roman" w:hAnsi="Times New Roman"/>
          <w:color w:val="000000" w:themeColor="text1"/>
          <w:sz w:val="24"/>
          <w:szCs w:val="24"/>
          <w:lang w:val="en-HK" w:eastAsia="zh-CN"/>
        </w:rPr>
      </w:pPr>
    </w:p>
    <w:p w14:paraId="59AF3F84" w14:textId="77777777" w:rsidR="00E77445" w:rsidRDefault="00E77445" w:rsidP="00103FB0">
      <w:pPr>
        <w:pStyle w:val="MainText"/>
        <w:jc w:val="both"/>
        <w:rPr>
          <w:color w:val="000000" w:themeColor="text1"/>
        </w:rPr>
      </w:pPr>
    </w:p>
    <w:p w14:paraId="1E378CB1" w14:textId="77777777" w:rsidR="00E77445" w:rsidRDefault="00E77445" w:rsidP="00103FB0">
      <w:pPr>
        <w:pStyle w:val="MainText"/>
        <w:jc w:val="both"/>
        <w:rPr>
          <w:color w:val="000000" w:themeColor="text1"/>
        </w:rPr>
      </w:pPr>
    </w:p>
    <w:p w14:paraId="6305E091" w14:textId="33249A13" w:rsidR="003E4938" w:rsidRPr="00437A3E" w:rsidRDefault="00E22761" w:rsidP="00103FB0">
      <w:pPr>
        <w:pStyle w:val="MainText"/>
        <w:jc w:val="both"/>
        <w:rPr>
          <w:color w:val="000000" w:themeColor="text1"/>
        </w:rPr>
      </w:pPr>
      <w:r w:rsidRPr="00437A3E">
        <w:rPr>
          <w:color w:val="000000" w:themeColor="text1"/>
        </w:rPr>
        <w:fldChar w:fldCharType="begin"/>
      </w:r>
      <w:r w:rsidRPr="00437A3E">
        <w:rPr>
          <w:color w:val="000000" w:themeColor="text1"/>
        </w:rPr>
        <w:instrText xml:space="preserve"> ADDIN </w:instrText>
      </w:r>
      <w:r w:rsidRPr="00437A3E">
        <w:rPr>
          <w:color w:val="000000" w:themeColor="text1"/>
        </w:rPr>
        <w:fldChar w:fldCharType="end"/>
      </w:r>
    </w:p>
    <w:sectPr w:rsidR="003E4938" w:rsidRPr="00437A3E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41771" w14:textId="77777777" w:rsidR="00F4290F" w:rsidRDefault="00F4290F">
      <w:r>
        <w:separator/>
      </w:r>
    </w:p>
  </w:endnote>
  <w:endnote w:type="continuationSeparator" w:id="0">
    <w:p w14:paraId="0E4C5970" w14:textId="77777777" w:rsidR="00F4290F" w:rsidRDefault="00F42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F887C" w14:textId="77777777" w:rsidR="00ED46EC" w:rsidRDefault="00ED46EC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2E3CB9">
      <w:rPr>
        <w:noProof/>
      </w:rPr>
      <w:t>2</w:t>
    </w:r>
    <w:r>
      <w:fldChar w:fldCharType="end"/>
    </w:r>
  </w:p>
  <w:p w14:paraId="39E3E8DF" w14:textId="77777777" w:rsidR="00ED46EC" w:rsidRDefault="00ED46EC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4A5E7" w14:textId="77777777" w:rsidR="00F4290F" w:rsidRDefault="00F4290F">
      <w:r>
        <w:separator/>
      </w:r>
    </w:p>
  </w:footnote>
  <w:footnote w:type="continuationSeparator" w:id="0">
    <w:p w14:paraId="5231ED7F" w14:textId="77777777" w:rsidR="00F4290F" w:rsidRDefault="00F42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474B4" w14:textId="77777777" w:rsidR="00ED46EC" w:rsidRPr="009B44CC" w:rsidRDefault="00ED46EC" w:rsidP="009B44CC">
    <w:pPr>
      <w:pStyle w:val="Header"/>
      <w:tabs>
        <w:tab w:val="left" w:pos="5003"/>
      </w:tabs>
      <w:jc w:val="right"/>
      <w:rPr>
        <w:lang w:val="en-US"/>
      </w:rPr>
    </w:pPr>
    <w:r>
      <w:tab/>
      <w:t xml:space="preserve">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C11B6"/>
    <w:multiLevelType w:val="hybridMultilevel"/>
    <w:tmpl w:val="72F6B174"/>
    <w:lvl w:ilvl="0" w:tplc="FF7E1E2A">
      <w:start w:val="1"/>
      <w:numFmt w:val="decimal"/>
      <w:lvlText w:val="(%1)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8125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Materials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se9vf5r59rvele5zt8vdpabezep5wvss20e&quot;&gt;Ag Cu NP electrode&lt;record-ids&gt;&lt;item&gt;1&lt;/item&gt;&lt;item&gt;2&lt;/item&gt;&lt;item&gt;3&lt;/item&gt;&lt;item&gt;6&lt;/item&gt;&lt;item&gt;8&lt;/item&gt;&lt;item&gt;9&lt;/item&gt;&lt;item&gt;16&lt;/item&gt;&lt;item&gt;19&lt;/item&gt;&lt;item&gt;25&lt;/item&gt;&lt;item&gt;26&lt;/item&gt;&lt;item&gt;27&lt;/item&gt;&lt;item&gt;29&lt;/item&gt;&lt;item&gt;30&lt;/item&gt;&lt;item&gt;31&lt;/item&gt;&lt;item&gt;32&lt;/item&gt;&lt;item&gt;33&lt;/item&gt;&lt;item&gt;37&lt;/item&gt;&lt;item&gt;39&lt;/item&gt;&lt;item&gt;40&lt;/item&gt;&lt;item&gt;44&lt;/item&gt;&lt;item&gt;46&lt;/item&gt;&lt;item&gt;47&lt;/item&gt;&lt;item&gt;48&lt;/item&gt;&lt;item&gt;49&lt;/item&gt;&lt;item&gt;50&lt;/item&gt;&lt;item&gt;51&lt;/item&gt;&lt;item&gt;52&lt;/item&gt;&lt;item&gt;61&lt;/item&gt;&lt;item&gt;62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6&lt;/item&gt;&lt;item&gt;79&lt;/item&gt;&lt;item&gt;80&lt;/item&gt;&lt;/record-ids&gt;&lt;/item&gt;&lt;/Libraries&gt;"/>
  </w:docVars>
  <w:rsids>
    <w:rsidRoot w:val="002D16A0"/>
    <w:rsid w:val="000003BB"/>
    <w:rsid w:val="00000C13"/>
    <w:rsid w:val="000015FF"/>
    <w:rsid w:val="00001881"/>
    <w:rsid w:val="00001DF4"/>
    <w:rsid w:val="0000374D"/>
    <w:rsid w:val="000038EA"/>
    <w:rsid w:val="00004803"/>
    <w:rsid w:val="00004A23"/>
    <w:rsid w:val="00004C2A"/>
    <w:rsid w:val="00004EEA"/>
    <w:rsid w:val="00005B87"/>
    <w:rsid w:val="0000685C"/>
    <w:rsid w:val="00006A0A"/>
    <w:rsid w:val="00006A80"/>
    <w:rsid w:val="0000703E"/>
    <w:rsid w:val="000105EC"/>
    <w:rsid w:val="000112FC"/>
    <w:rsid w:val="000118B0"/>
    <w:rsid w:val="00011F40"/>
    <w:rsid w:val="0001416C"/>
    <w:rsid w:val="0001454A"/>
    <w:rsid w:val="00015532"/>
    <w:rsid w:val="0001568B"/>
    <w:rsid w:val="0001683C"/>
    <w:rsid w:val="000172E7"/>
    <w:rsid w:val="000175AF"/>
    <w:rsid w:val="00020D69"/>
    <w:rsid w:val="0002112E"/>
    <w:rsid w:val="000214A8"/>
    <w:rsid w:val="0002262F"/>
    <w:rsid w:val="00022BF3"/>
    <w:rsid w:val="00022F87"/>
    <w:rsid w:val="00023F64"/>
    <w:rsid w:val="00024AAF"/>
    <w:rsid w:val="000250DD"/>
    <w:rsid w:val="000262F2"/>
    <w:rsid w:val="00026570"/>
    <w:rsid w:val="00026957"/>
    <w:rsid w:val="00026BBE"/>
    <w:rsid w:val="00026C25"/>
    <w:rsid w:val="00027783"/>
    <w:rsid w:val="00027FB5"/>
    <w:rsid w:val="000310D3"/>
    <w:rsid w:val="000314D2"/>
    <w:rsid w:val="0003201F"/>
    <w:rsid w:val="0003318D"/>
    <w:rsid w:val="0003318F"/>
    <w:rsid w:val="00034135"/>
    <w:rsid w:val="000344D2"/>
    <w:rsid w:val="0003607D"/>
    <w:rsid w:val="00036C10"/>
    <w:rsid w:val="000378C2"/>
    <w:rsid w:val="0004094E"/>
    <w:rsid w:val="00040B7B"/>
    <w:rsid w:val="00041A5F"/>
    <w:rsid w:val="0004315B"/>
    <w:rsid w:val="000437F7"/>
    <w:rsid w:val="00044760"/>
    <w:rsid w:val="00045C5B"/>
    <w:rsid w:val="00050258"/>
    <w:rsid w:val="000504B7"/>
    <w:rsid w:val="00050985"/>
    <w:rsid w:val="00051303"/>
    <w:rsid w:val="00051572"/>
    <w:rsid w:val="000538D0"/>
    <w:rsid w:val="0005402C"/>
    <w:rsid w:val="00054A23"/>
    <w:rsid w:val="0005501E"/>
    <w:rsid w:val="0005522F"/>
    <w:rsid w:val="000555E7"/>
    <w:rsid w:val="00055883"/>
    <w:rsid w:val="000572D1"/>
    <w:rsid w:val="0006044D"/>
    <w:rsid w:val="000606B3"/>
    <w:rsid w:val="000607B1"/>
    <w:rsid w:val="0006135F"/>
    <w:rsid w:val="000615E2"/>
    <w:rsid w:val="00061B5F"/>
    <w:rsid w:val="00061D01"/>
    <w:rsid w:val="00061EE4"/>
    <w:rsid w:val="00062324"/>
    <w:rsid w:val="00062AB3"/>
    <w:rsid w:val="0006355D"/>
    <w:rsid w:val="0006396D"/>
    <w:rsid w:val="00063C0E"/>
    <w:rsid w:val="000641AD"/>
    <w:rsid w:val="00064710"/>
    <w:rsid w:val="00065D8E"/>
    <w:rsid w:val="00066326"/>
    <w:rsid w:val="000666BE"/>
    <w:rsid w:val="00066826"/>
    <w:rsid w:val="00067A9F"/>
    <w:rsid w:val="0007070F"/>
    <w:rsid w:val="000710B9"/>
    <w:rsid w:val="00071201"/>
    <w:rsid w:val="00071A15"/>
    <w:rsid w:val="0007239C"/>
    <w:rsid w:val="000724FA"/>
    <w:rsid w:val="00072D65"/>
    <w:rsid w:val="00072EA7"/>
    <w:rsid w:val="0007383B"/>
    <w:rsid w:val="000738D4"/>
    <w:rsid w:val="000744FB"/>
    <w:rsid w:val="0007535D"/>
    <w:rsid w:val="00075FB6"/>
    <w:rsid w:val="00076864"/>
    <w:rsid w:val="00076EAD"/>
    <w:rsid w:val="000825D8"/>
    <w:rsid w:val="0008276E"/>
    <w:rsid w:val="0008287E"/>
    <w:rsid w:val="00083031"/>
    <w:rsid w:val="000830F8"/>
    <w:rsid w:val="000835EB"/>
    <w:rsid w:val="00083D60"/>
    <w:rsid w:val="000854C9"/>
    <w:rsid w:val="00085633"/>
    <w:rsid w:val="000864CB"/>
    <w:rsid w:val="000868E6"/>
    <w:rsid w:val="0008740B"/>
    <w:rsid w:val="00090288"/>
    <w:rsid w:val="000904D3"/>
    <w:rsid w:val="00091E32"/>
    <w:rsid w:val="0009309C"/>
    <w:rsid w:val="00093DA6"/>
    <w:rsid w:val="00093F1B"/>
    <w:rsid w:val="0009563F"/>
    <w:rsid w:val="00095D42"/>
    <w:rsid w:val="00095E1B"/>
    <w:rsid w:val="00096F83"/>
    <w:rsid w:val="0009769D"/>
    <w:rsid w:val="000A0195"/>
    <w:rsid w:val="000A058E"/>
    <w:rsid w:val="000A0CA6"/>
    <w:rsid w:val="000A0D9D"/>
    <w:rsid w:val="000A1783"/>
    <w:rsid w:val="000A1F4B"/>
    <w:rsid w:val="000A1F8B"/>
    <w:rsid w:val="000A21A9"/>
    <w:rsid w:val="000A2682"/>
    <w:rsid w:val="000A26CA"/>
    <w:rsid w:val="000A33A9"/>
    <w:rsid w:val="000A3E93"/>
    <w:rsid w:val="000A4263"/>
    <w:rsid w:val="000A472C"/>
    <w:rsid w:val="000A4831"/>
    <w:rsid w:val="000A4C24"/>
    <w:rsid w:val="000A4F32"/>
    <w:rsid w:val="000A5773"/>
    <w:rsid w:val="000A57E3"/>
    <w:rsid w:val="000A59D2"/>
    <w:rsid w:val="000A5CE4"/>
    <w:rsid w:val="000A67BA"/>
    <w:rsid w:val="000A6B4E"/>
    <w:rsid w:val="000B05A0"/>
    <w:rsid w:val="000B081B"/>
    <w:rsid w:val="000B0DF3"/>
    <w:rsid w:val="000B237E"/>
    <w:rsid w:val="000B2D65"/>
    <w:rsid w:val="000B2E4B"/>
    <w:rsid w:val="000B3340"/>
    <w:rsid w:val="000B33EE"/>
    <w:rsid w:val="000B4293"/>
    <w:rsid w:val="000B5201"/>
    <w:rsid w:val="000B5AC1"/>
    <w:rsid w:val="000B7A2C"/>
    <w:rsid w:val="000C01E4"/>
    <w:rsid w:val="000C11E4"/>
    <w:rsid w:val="000C19D6"/>
    <w:rsid w:val="000C20DB"/>
    <w:rsid w:val="000C259E"/>
    <w:rsid w:val="000C303D"/>
    <w:rsid w:val="000C342D"/>
    <w:rsid w:val="000C39E3"/>
    <w:rsid w:val="000C3E0C"/>
    <w:rsid w:val="000C42EB"/>
    <w:rsid w:val="000C6252"/>
    <w:rsid w:val="000C6F8A"/>
    <w:rsid w:val="000C792E"/>
    <w:rsid w:val="000C798B"/>
    <w:rsid w:val="000D0292"/>
    <w:rsid w:val="000D0EFC"/>
    <w:rsid w:val="000D172F"/>
    <w:rsid w:val="000D1821"/>
    <w:rsid w:val="000D2289"/>
    <w:rsid w:val="000D2623"/>
    <w:rsid w:val="000D29C9"/>
    <w:rsid w:val="000D2D4B"/>
    <w:rsid w:val="000D361C"/>
    <w:rsid w:val="000D411C"/>
    <w:rsid w:val="000D42E9"/>
    <w:rsid w:val="000D45F4"/>
    <w:rsid w:val="000D4E8A"/>
    <w:rsid w:val="000D51F0"/>
    <w:rsid w:val="000D5AB4"/>
    <w:rsid w:val="000D5BD3"/>
    <w:rsid w:val="000D5EEC"/>
    <w:rsid w:val="000D5F53"/>
    <w:rsid w:val="000D66DB"/>
    <w:rsid w:val="000D6BCA"/>
    <w:rsid w:val="000D7EBA"/>
    <w:rsid w:val="000E0BFB"/>
    <w:rsid w:val="000E116F"/>
    <w:rsid w:val="000E2723"/>
    <w:rsid w:val="000E363D"/>
    <w:rsid w:val="000E3F57"/>
    <w:rsid w:val="000E4C15"/>
    <w:rsid w:val="000E4F74"/>
    <w:rsid w:val="000E51B7"/>
    <w:rsid w:val="000E60D6"/>
    <w:rsid w:val="000E7534"/>
    <w:rsid w:val="000E7732"/>
    <w:rsid w:val="000E7734"/>
    <w:rsid w:val="000E7A5B"/>
    <w:rsid w:val="000E7BBA"/>
    <w:rsid w:val="000E7F53"/>
    <w:rsid w:val="000F0C05"/>
    <w:rsid w:val="000F2582"/>
    <w:rsid w:val="000F2B67"/>
    <w:rsid w:val="000F345A"/>
    <w:rsid w:val="000F3E3E"/>
    <w:rsid w:val="000F4D21"/>
    <w:rsid w:val="000F4EFE"/>
    <w:rsid w:val="000F512F"/>
    <w:rsid w:val="000F6EF8"/>
    <w:rsid w:val="00100254"/>
    <w:rsid w:val="0010114F"/>
    <w:rsid w:val="001013EB"/>
    <w:rsid w:val="00101CB6"/>
    <w:rsid w:val="00101F75"/>
    <w:rsid w:val="00101FC5"/>
    <w:rsid w:val="00102C16"/>
    <w:rsid w:val="00103B83"/>
    <w:rsid w:val="00103FB0"/>
    <w:rsid w:val="001054D4"/>
    <w:rsid w:val="001054D6"/>
    <w:rsid w:val="00105568"/>
    <w:rsid w:val="0010686C"/>
    <w:rsid w:val="0010693D"/>
    <w:rsid w:val="00107A6D"/>
    <w:rsid w:val="00107C5F"/>
    <w:rsid w:val="00107CCC"/>
    <w:rsid w:val="00107EE3"/>
    <w:rsid w:val="00110011"/>
    <w:rsid w:val="0011023B"/>
    <w:rsid w:val="001105BD"/>
    <w:rsid w:val="00110A58"/>
    <w:rsid w:val="00111276"/>
    <w:rsid w:val="00112817"/>
    <w:rsid w:val="00112CB0"/>
    <w:rsid w:val="001138B8"/>
    <w:rsid w:val="0011470B"/>
    <w:rsid w:val="0011487B"/>
    <w:rsid w:val="00115104"/>
    <w:rsid w:val="00115339"/>
    <w:rsid w:val="00116C82"/>
    <w:rsid w:val="00120E85"/>
    <w:rsid w:val="001221FC"/>
    <w:rsid w:val="00123588"/>
    <w:rsid w:val="00123ADA"/>
    <w:rsid w:val="00123BFA"/>
    <w:rsid w:val="001244A4"/>
    <w:rsid w:val="001252EE"/>
    <w:rsid w:val="00125573"/>
    <w:rsid w:val="0012642A"/>
    <w:rsid w:val="00126D17"/>
    <w:rsid w:val="00127612"/>
    <w:rsid w:val="00127C00"/>
    <w:rsid w:val="00127EFF"/>
    <w:rsid w:val="001305BF"/>
    <w:rsid w:val="00130E0F"/>
    <w:rsid w:val="0013108B"/>
    <w:rsid w:val="0013415F"/>
    <w:rsid w:val="001345AA"/>
    <w:rsid w:val="00134A1E"/>
    <w:rsid w:val="0013508C"/>
    <w:rsid w:val="00135647"/>
    <w:rsid w:val="0013620B"/>
    <w:rsid w:val="001370B1"/>
    <w:rsid w:val="00137125"/>
    <w:rsid w:val="001377CA"/>
    <w:rsid w:val="00137E52"/>
    <w:rsid w:val="00140007"/>
    <w:rsid w:val="00140908"/>
    <w:rsid w:val="00140B94"/>
    <w:rsid w:val="00141198"/>
    <w:rsid w:val="00141617"/>
    <w:rsid w:val="00143055"/>
    <w:rsid w:val="0014308B"/>
    <w:rsid w:val="00143437"/>
    <w:rsid w:val="0014366A"/>
    <w:rsid w:val="001450FB"/>
    <w:rsid w:val="001456BA"/>
    <w:rsid w:val="0014634A"/>
    <w:rsid w:val="00146578"/>
    <w:rsid w:val="0014658A"/>
    <w:rsid w:val="00147931"/>
    <w:rsid w:val="00147BAE"/>
    <w:rsid w:val="00147DB8"/>
    <w:rsid w:val="00147FCC"/>
    <w:rsid w:val="00150044"/>
    <w:rsid w:val="00150AF8"/>
    <w:rsid w:val="00150DE2"/>
    <w:rsid w:val="00151683"/>
    <w:rsid w:val="00151A9D"/>
    <w:rsid w:val="00152EBF"/>
    <w:rsid w:val="00152F42"/>
    <w:rsid w:val="0015392F"/>
    <w:rsid w:val="00155122"/>
    <w:rsid w:val="001551A7"/>
    <w:rsid w:val="001552C9"/>
    <w:rsid w:val="0015563E"/>
    <w:rsid w:val="00155F66"/>
    <w:rsid w:val="0016000F"/>
    <w:rsid w:val="00160824"/>
    <w:rsid w:val="001622D5"/>
    <w:rsid w:val="001629BB"/>
    <w:rsid w:val="0016390D"/>
    <w:rsid w:val="00163B7E"/>
    <w:rsid w:val="00164057"/>
    <w:rsid w:val="00165111"/>
    <w:rsid w:val="00165B37"/>
    <w:rsid w:val="00166611"/>
    <w:rsid w:val="001670E2"/>
    <w:rsid w:val="00167133"/>
    <w:rsid w:val="00167F3B"/>
    <w:rsid w:val="00170369"/>
    <w:rsid w:val="00170744"/>
    <w:rsid w:val="001710AF"/>
    <w:rsid w:val="00171898"/>
    <w:rsid w:val="00171E7D"/>
    <w:rsid w:val="00171E96"/>
    <w:rsid w:val="00172DF4"/>
    <w:rsid w:val="00172E68"/>
    <w:rsid w:val="00172EED"/>
    <w:rsid w:val="00173757"/>
    <w:rsid w:val="00174176"/>
    <w:rsid w:val="00174189"/>
    <w:rsid w:val="00174D2A"/>
    <w:rsid w:val="00174E9A"/>
    <w:rsid w:val="0017567C"/>
    <w:rsid w:val="00177B9A"/>
    <w:rsid w:val="001805BF"/>
    <w:rsid w:val="0018156C"/>
    <w:rsid w:val="00181996"/>
    <w:rsid w:val="00181A8E"/>
    <w:rsid w:val="00181D92"/>
    <w:rsid w:val="00181E28"/>
    <w:rsid w:val="001823B6"/>
    <w:rsid w:val="00183A83"/>
    <w:rsid w:val="00183F7E"/>
    <w:rsid w:val="00184017"/>
    <w:rsid w:val="00184629"/>
    <w:rsid w:val="001848EB"/>
    <w:rsid w:val="001859EB"/>
    <w:rsid w:val="00187CB6"/>
    <w:rsid w:val="00187DB9"/>
    <w:rsid w:val="0019077D"/>
    <w:rsid w:val="00190E6B"/>
    <w:rsid w:val="0019194D"/>
    <w:rsid w:val="00191DE4"/>
    <w:rsid w:val="00192DA2"/>
    <w:rsid w:val="00192F60"/>
    <w:rsid w:val="001947C9"/>
    <w:rsid w:val="001947CD"/>
    <w:rsid w:val="00194A17"/>
    <w:rsid w:val="001962A1"/>
    <w:rsid w:val="00196C89"/>
    <w:rsid w:val="001A0A01"/>
    <w:rsid w:val="001A28C5"/>
    <w:rsid w:val="001A2AB4"/>
    <w:rsid w:val="001A2AF4"/>
    <w:rsid w:val="001A2BBB"/>
    <w:rsid w:val="001A3144"/>
    <w:rsid w:val="001A4240"/>
    <w:rsid w:val="001A5298"/>
    <w:rsid w:val="001A5DD9"/>
    <w:rsid w:val="001A6821"/>
    <w:rsid w:val="001A6A2E"/>
    <w:rsid w:val="001A734D"/>
    <w:rsid w:val="001B04D0"/>
    <w:rsid w:val="001B25DC"/>
    <w:rsid w:val="001B28AF"/>
    <w:rsid w:val="001B2968"/>
    <w:rsid w:val="001B2D6B"/>
    <w:rsid w:val="001B3896"/>
    <w:rsid w:val="001B39DA"/>
    <w:rsid w:val="001B4224"/>
    <w:rsid w:val="001B4B99"/>
    <w:rsid w:val="001B5A95"/>
    <w:rsid w:val="001B6480"/>
    <w:rsid w:val="001B71B0"/>
    <w:rsid w:val="001B7472"/>
    <w:rsid w:val="001B7A31"/>
    <w:rsid w:val="001C050F"/>
    <w:rsid w:val="001C05CC"/>
    <w:rsid w:val="001C0B02"/>
    <w:rsid w:val="001C1024"/>
    <w:rsid w:val="001C10AC"/>
    <w:rsid w:val="001C1C76"/>
    <w:rsid w:val="001C1E5D"/>
    <w:rsid w:val="001C1F6F"/>
    <w:rsid w:val="001C24B3"/>
    <w:rsid w:val="001C4242"/>
    <w:rsid w:val="001C5336"/>
    <w:rsid w:val="001C54E0"/>
    <w:rsid w:val="001C55FB"/>
    <w:rsid w:val="001C56EA"/>
    <w:rsid w:val="001C5A05"/>
    <w:rsid w:val="001C5DFC"/>
    <w:rsid w:val="001C68B5"/>
    <w:rsid w:val="001C6910"/>
    <w:rsid w:val="001C6B8D"/>
    <w:rsid w:val="001C76FF"/>
    <w:rsid w:val="001C7F9D"/>
    <w:rsid w:val="001C7FA1"/>
    <w:rsid w:val="001D0264"/>
    <w:rsid w:val="001D053E"/>
    <w:rsid w:val="001D12BC"/>
    <w:rsid w:val="001D1562"/>
    <w:rsid w:val="001D26E4"/>
    <w:rsid w:val="001D3B5D"/>
    <w:rsid w:val="001D4CF6"/>
    <w:rsid w:val="001D4F30"/>
    <w:rsid w:val="001D5009"/>
    <w:rsid w:val="001D561D"/>
    <w:rsid w:val="001D6AE2"/>
    <w:rsid w:val="001D6EB4"/>
    <w:rsid w:val="001D707B"/>
    <w:rsid w:val="001D72B5"/>
    <w:rsid w:val="001D768E"/>
    <w:rsid w:val="001E0DDC"/>
    <w:rsid w:val="001E18CC"/>
    <w:rsid w:val="001E1C6C"/>
    <w:rsid w:val="001E231B"/>
    <w:rsid w:val="001E2BC2"/>
    <w:rsid w:val="001E2C59"/>
    <w:rsid w:val="001E3462"/>
    <w:rsid w:val="001E3D2D"/>
    <w:rsid w:val="001E4605"/>
    <w:rsid w:val="001E5413"/>
    <w:rsid w:val="001E5F4E"/>
    <w:rsid w:val="001E6065"/>
    <w:rsid w:val="001E617E"/>
    <w:rsid w:val="001E687D"/>
    <w:rsid w:val="001E7388"/>
    <w:rsid w:val="001E78D3"/>
    <w:rsid w:val="001F0327"/>
    <w:rsid w:val="001F0BB9"/>
    <w:rsid w:val="001F2378"/>
    <w:rsid w:val="001F2689"/>
    <w:rsid w:val="001F26B4"/>
    <w:rsid w:val="001F2770"/>
    <w:rsid w:val="001F29FC"/>
    <w:rsid w:val="001F2AB7"/>
    <w:rsid w:val="001F320F"/>
    <w:rsid w:val="001F3C9B"/>
    <w:rsid w:val="001F3E77"/>
    <w:rsid w:val="001F5110"/>
    <w:rsid w:val="001F5702"/>
    <w:rsid w:val="001F585D"/>
    <w:rsid w:val="001F667A"/>
    <w:rsid w:val="001F68DB"/>
    <w:rsid w:val="001F794D"/>
    <w:rsid w:val="001F7A45"/>
    <w:rsid w:val="0020012D"/>
    <w:rsid w:val="002002FC"/>
    <w:rsid w:val="00201F71"/>
    <w:rsid w:val="00202286"/>
    <w:rsid w:val="002036BD"/>
    <w:rsid w:val="00203934"/>
    <w:rsid w:val="002042EE"/>
    <w:rsid w:val="0020446B"/>
    <w:rsid w:val="00204BA7"/>
    <w:rsid w:val="00204D49"/>
    <w:rsid w:val="00205FE3"/>
    <w:rsid w:val="002072AB"/>
    <w:rsid w:val="00210140"/>
    <w:rsid w:val="00210E25"/>
    <w:rsid w:val="00211942"/>
    <w:rsid w:val="00212026"/>
    <w:rsid w:val="002147FC"/>
    <w:rsid w:val="00214858"/>
    <w:rsid w:val="00214D95"/>
    <w:rsid w:val="00215531"/>
    <w:rsid w:val="0021564F"/>
    <w:rsid w:val="00215B00"/>
    <w:rsid w:val="0021606B"/>
    <w:rsid w:val="00216B91"/>
    <w:rsid w:val="00217D9E"/>
    <w:rsid w:val="00220933"/>
    <w:rsid w:val="00220C72"/>
    <w:rsid w:val="00220D15"/>
    <w:rsid w:val="002221AD"/>
    <w:rsid w:val="00223B26"/>
    <w:rsid w:val="00224D64"/>
    <w:rsid w:val="00224E4D"/>
    <w:rsid w:val="0022540C"/>
    <w:rsid w:val="00225F25"/>
    <w:rsid w:val="00226AA4"/>
    <w:rsid w:val="00227860"/>
    <w:rsid w:val="00230898"/>
    <w:rsid w:val="00232C86"/>
    <w:rsid w:val="00232D5C"/>
    <w:rsid w:val="00233C8A"/>
    <w:rsid w:val="002343C4"/>
    <w:rsid w:val="002348CF"/>
    <w:rsid w:val="00234C41"/>
    <w:rsid w:val="002352ED"/>
    <w:rsid w:val="002355CE"/>
    <w:rsid w:val="00236036"/>
    <w:rsid w:val="00236059"/>
    <w:rsid w:val="00237101"/>
    <w:rsid w:val="00237216"/>
    <w:rsid w:val="00240D90"/>
    <w:rsid w:val="00241275"/>
    <w:rsid w:val="00241771"/>
    <w:rsid w:val="00241D6A"/>
    <w:rsid w:val="00242847"/>
    <w:rsid w:val="002429F9"/>
    <w:rsid w:val="002431BD"/>
    <w:rsid w:val="002434DA"/>
    <w:rsid w:val="002436D0"/>
    <w:rsid w:val="00243F22"/>
    <w:rsid w:val="00244860"/>
    <w:rsid w:val="002451F6"/>
    <w:rsid w:val="0024675D"/>
    <w:rsid w:val="002472A4"/>
    <w:rsid w:val="0024733F"/>
    <w:rsid w:val="00247767"/>
    <w:rsid w:val="00250F21"/>
    <w:rsid w:val="00251500"/>
    <w:rsid w:val="00251538"/>
    <w:rsid w:val="00251F0F"/>
    <w:rsid w:val="00253550"/>
    <w:rsid w:val="00253997"/>
    <w:rsid w:val="00253C02"/>
    <w:rsid w:val="00253CB1"/>
    <w:rsid w:val="002543F9"/>
    <w:rsid w:val="00255C57"/>
    <w:rsid w:val="00255FBA"/>
    <w:rsid w:val="002578E6"/>
    <w:rsid w:val="00257ADD"/>
    <w:rsid w:val="00260490"/>
    <w:rsid w:val="0026066A"/>
    <w:rsid w:val="00261761"/>
    <w:rsid w:val="00261CF2"/>
    <w:rsid w:val="002624E4"/>
    <w:rsid w:val="00262B9B"/>
    <w:rsid w:val="002632F6"/>
    <w:rsid w:val="00263813"/>
    <w:rsid w:val="00263989"/>
    <w:rsid w:val="00263C15"/>
    <w:rsid w:val="00263CF8"/>
    <w:rsid w:val="00264759"/>
    <w:rsid w:val="0026502A"/>
    <w:rsid w:val="00265635"/>
    <w:rsid w:val="0026609B"/>
    <w:rsid w:val="00266322"/>
    <w:rsid w:val="00266389"/>
    <w:rsid w:val="002664FC"/>
    <w:rsid w:val="00266E8D"/>
    <w:rsid w:val="002671E8"/>
    <w:rsid w:val="002675F7"/>
    <w:rsid w:val="00267C17"/>
    <w:rsid w:val="00270045"/>
    <w:rsid w:val="0027183C"/>
    <w:rsid w:val="002725A5"/>
    <w:rsid w:val="0027314F"/>
    <w:rsid w:val="00273291"/>
    <w:rsid w:val="002738B5"/>
    <w:rsid w:val="00273D54"/>
    <w:rsid w:val="002748D1"/>
    <w:rsid w:val="002749EB"/>
    <w:rsid w:val="00275230"/>
    <w:rsid w:val="00275313"/>
    <w:rsid w:val="002754B8"/>
    <w:rsid w:val="00275A79"/>
    <w:rsid w:val="00276E4A"/>
    <w:rsid w:val="002771C3"/>
    <w:rsid w:val="00277B63"/>
    <w:rsid w:val="00277C77"/>
    <w:rsid w:val="002802DA"/>
    <w:rsid w:val="002802F2"/>
    <w:rsid w:val="00281053"/>
    <w:rsid w:val="0028289F"/>
    <w:rsid w:val="00284157"/>
    <w:rsid w:val="002842A9"/>
    <w:rsid w:val="00285631"/>
    <w:rsid w:val="00285F68"/>
    <w:rsid w:val="002860CA"/>
    <w:rsid w:val="00290527"/>
    <w:rsid w:val="00290D94"/>
    <w:rsid w:val="0029203C"/>
    <w:rsid w:val="00292B39"/>
    <w:rsid w:val="00292D03"/>
    <w:rsid w:val="00294873"/>
    <w:rsid w:val="00295925"/>
    <w:rsid w:val="00295B5C"/>
    <w:rsid w:val="00296FCF"/>
    <w:rsid w:val="00297DA0"/>
    <w:rsid w:val="00297F10"/>
    <w:rsid w:val="002A0720"/>
    <w:rsid w:val="002A07A1"/>
    <w:rsid w:val="002A0C03"/>
    <w:rsid w:val="002A1A5C"/>
    <w:rsid w:val="002A3342"/>
    <w:rsid w:val="002A3E89"/>
    <w:rsid w:val="002A4A81"/>
    <w:rsid w:val="002A4D8B"/>
    <w:rsid w:val="002A5699"/>
    <w:rsid w:val="002A76E6"/>
    <w:rsid w:val="002A7CE8"/>
    <w:rsid w:val="002A7EF7"/>
    <w:rsid w:val="002B0182"/>
    <w:rsid w:val="002B04D8"/>
    <w:rsid w:val="002B0671"/>
    <w:rsid w:val="002B06B4"/>
    <w:rsid w:val="002B115A"/>
    <w:rsid w:val="002B2293"/>
    <w:rsid w:val="002B2450"/>
    <w:rsid w:val="002B247A"/>
    <w:rsid w:val="002B262F"/>
    <w:rsid w:val="002B2E44"/>
    <w:rsid w:val="002B3510"/>
    <w:rsid w:val="002B3553"/>
    <w:rsid w:val="002B3AAB"/>
    <w:rsid w:val="002B55A3"/>
    <w:rsid w:val="002B59BE"/>
    <w:rsid w:val="002B5E06"/>
    <w:rsid w:val="002B6434"/>
    <w:rsid w:val="002B74C2"/>
    <w:rsid w:val="002C0043"/>
    <w:rsid w:val="002C0143"/>
    <w:rsid w:val="002C0CFF"/>
    <w:rsid w:val="002C1AB8"/>
    <w:rsid w:val="002C1BCC"/>
    <w:rsid w:val="002C21BD"/>
    <w:rsid w:val="002C2587"/>
    <w:rsid w:val="002C25BC"/>
    <w:rsid w:val="002C2791"/>
    <w:rsid w:val="002C2E4E"/>
    <w:rsid w:val="002C3948"/>
    <w:rsid w:val="002C449E"/>
    <w:rsid w:val="002C4EF6"/>
    <w:rsid w:val="002C5D1C"/>
    <w:rsid w:val="002C60D4"/>
    <w:rsid w:val="002C62C0"/>
    <w:rsid w:val="002C7E14"/>
    <w:rsid w:val="002D00B5"/>
    <w:rsid w:val="002D01DB"/>
    <w:rsid w:val="002D02E3"/>
    <w:rsid w:val="002D1584"/>
    <w:rsid w:val="002D16A0"/>
    <w:rsid w:val="002D2930"/>
    <w:rsid w:val="002D2DFF"/>
    <w:rsid w:val="002D45C3"/>
    <w:rsid w:val="002D4E42"/>
    <w:rsid w:val="002D5176"/>
    <w:rsid w:val="002D5AA3"/>
    <w:rsid w:val="002D6807"/>
    <w:rsid w:val="002D769A"/>
    <w:rsid w:val="002E015F"/>
    <w:rsid w:val="002E14A1"/>
    <w:rsid w:val="002E18E7"/>
    <w:rsid w:val="002E2EE4"/>
    <w:rsid w:val="002E3CB9"/>
    <w:rsid w:val="002E4C35"/>
    <w:rsid w:val="002E4E3E"/>
    <w:rsid w:val="002E4FEF"/>
    <w:rsid w:val="002E5074"/>
    <w:rsid w:val="002E5459"/>
    <w:rsid w:val="002E76B2"/>
    <w:rsid w:val="002E79A2"/>
    <w:rsid w:val="002E7E2B"/>
    <w:rsid w:val="002F09C9"/>
    <w:rsid w:val="002F0D87"/>
    <w:rsid w:val="002F0F3A"/>
    <w:rsid w:val="002F1873"/>
    <w:rsid w:val="002F2E65"/>
    <w:rsid w:val="002F338F"/>
    <w:rsid w:val="002F3CDA"/>
    <w:rsid w:val="002F3D48"/>
    <w:rsid w:val="002F3D51"/>
    <w:rsid w:val="002F40BB"/>
    <w:rsid w:val="002F4415"/>
    <w:rsid w:val="002F492A"/>
    <w:rsid w:val="002F4DF0"/>
    <w:rsid w:val="002F4E50"/>
    <w:rsid w:val="002F55FD"/>
    <w:rsid w:val="002F594C"/>
    <w:rsid w:val="002F60F9"/>
    <w:rsid w:val="002F62E5"/>
    <w:rsid w:val="002F6E57"/>
    <w:rsid w:val="002F711B"/>
    <w:rsid w:val="00301984"/>
    <w:rsid w:val="00301B0B"/>
    <w:rsid w:val="00301E84"/>
    <w:rsid w:val="003025EB"/>
    <w:rsid w:val="00302912"/>
    <w:rsid w:val="00302AD0"/>
    <w:rsid w:val="00303D1B"/>
    <w:rsid w:val="003045E2"/>
    <w:rsid w:val="003046B7"/>
    <w:rsid w:val="00304716"/>
    <w:rsid w:val="0030498F"/>
    <w:rsid w:val="00304C21"/>
    <w:rsid w:val="00305430"/>
    <w:rsid w:val="00307DB8"/>
    <w:rsid w:val="00307FDB"/>
    <w:rsid w:val="00310F93"/>
    <w:rsid w:val="00311A0E"/>
    <w:rsid w:val="003131A4"/>
    <w:rsid w:val="00313919"/>
    <w:rsid w:val="00314972"/>
    <w:rsid w:val="0031543C"/>
    <w:rsid w:val="00317A57"/>
    <w:rsid w:val="00320A99"/>
    <w:rsid w:val="00320DE9"/>
    <w:rsid w:val="0032144B"/>
    <w:rsid w:val="00321945"/>
    <w:rsid w:val="00321F58"/>
    <w:rsid w:val="00322D5B"/>
    <w:rsid w:val="00322F35"/>
    <w:rsid w:val="003236CE"/>
    <w:rsid w:val="00323747"/>
    <w:rsid w:val="00323DDD"/>
    <w:rsid w:val="0032513A"/>
    <w:rsid w:val="0032542A"/>
    <w:rsid w:val="003256EE"/>
    <w:rsid w:val="00325AC2"/>
    <w:rsid w:val="00325F83"/>
    <w:rsid w:val="00326A1C"/>
    <w:rsid w:val="003277B2"/>
    <w:rsid w:val="0033006C"/>
    <w:rsid w:val="00330B4D"/>
    <w:rsid w:val="00330C3E"/>
    <w:rsid w:val="00331C7F"/>
    <w:rsid w:val="00331D9B"/>
    <w:rsid w:val="00332D7F"/>
    <w:rsid w:val="0033437B"/>
    <w:rsid w:val="00334425"/>
    <w:rsid w:val="00334850"/>
    <w:rsid w:val="00334CA5"/>
    <w:rsid w:val="00334CB1"/>
    <w:rsid w:val="003352BC"/>
    <w:rsid w:val="003355A9"/>
    <w:rsid w:val="003360E3"/>
    <w:rsid w:val="00336138"/>
    <w:rsid w:val="003361BC"/>
    <w:rsid w:val="003371D5"/>
    <w:rsid w:val="0033758B"/>
    <w:rsid w:val="003376CD"/>
    <w:rsid w:val="00340346"/>
    <w:rsid w:val="00341686"/>
    <w:rsid w:val="003423E1"/>
    <w:rsid w:val="00342B26"/>
    <w:rsid w:val="00344165"/>
    <w:rsid w:val="00344C49"/>
    <w:rsid w:val="003452C3"/>
    <w:rsid w:val="003473B9"/>
    <w:rsid w:val="00347606"/>
    <w:rsid w:val="00347D1C"/>
    <w:rsid w:val="00347D23"/>
    <w:rsid w:val="00347E6C"/>
    <w:rsid w:val="003501A7"/>
    <w:rsid w:val="003503B5"/>
    <w:rsid w:val="0035048A"/>
    <w:rsid w:val="00350778"/>
    <w:rsid w:val="003508FA"/>
    <w:rsid w:val="00351C73"/>
    <w:rsid w:val="00351E97"/>
    <w:rsid w:val="00352C4B"/>
    <w:rsid w:val="00352D57"/>
    <w:rsid w:val="00352E14"/>
    <w:rsid w:val="003541BD"/>
    <w:rsid w:val="0035474E"/>
    <w:rsid w:val="00356038"/>
    <w:rsid w:val="003563D7"/>
    <w:rsid w:val="00361CCA"/>
    <w:rsid w:val="00362139"/>
    <w:rsid w:val="00362216"/>
    <w:rsid w:val="0036263B"/>
    <w:rsid w:val="00362983"/>
    <w:rsid w:val="00362EBB"/>
    <w:rsid w:val="00362F68"/>
    <w:rsid w:val="0036368F"/>
    <w:rsid w:val="00363B33"/>
    <w:rsid w:val="00363B62"/>
    <w:rsid w:val="00363C36"/>
    <w:rsid w:val="003645B0"/>
    <w:rsid w:val="0036482D"/>
    <w:rsid w:val="00364B2C"/>
    <w:rsid w:val="00364E30"/>
    <w:rsid w:val="0036533C"/>
    <w:rsid w:val="00365FAB"/>
    <w:rsid w:val="00366349"/>
    <w:rsid w:val="003664F1"/>
    <w:rsid w:val="00366A3F"/>
    <w:rsid w:val="003674F4"/>
    <w:rsid w:val="00367E3F"/>
    <w:rsid w:val="00370045"/>
    <w:rsid w:val="0037012E"/>
    <w:rsid w:val="003701C5"/>
    <w:rsid w:val="00370484"/>
    <w:rsid w:val="0037085F"/>
    <w:rsid w:val="0037099E"/>
    <w:rsid w:val="00370F96"/>
    <w:rsid w:val="00372DBA"/>
    <w:rsid w:val="00372DD1"/>
    <w:rsid w:val="00373D92"/>
    <w:rsid w:val="00373E61"/>
    <w:rsid w:val="0037419D"/>
    <w:rsid w:val="00376000"/>
    <w:rsid w:val="0037669C"/>
    <w:rsid w:val="00377EA5"/>
    <w:rsid w:val="00377F77"/>
    <w:rsid w:val="003805FA"/>
    <w:rsid w:val="0038127E"/>
    <w:rsid w:val="00381733"/>
    <w:rsid w:val="00382CCA"/>
    <w:rsid w:val="00383073"/>
    <w:rsid w:val="0038438F"/>
    <w:rsid w:val="00385B87"/>
    <w:rsid w:val="00386A4A"/>
    <w:rsid w:val="003877D6"/>
    <w:rsid w:val="00387C67"/>
    <w:rsid w:val="00387D27"/>
    <w:rsid w:val="00387D98"/>
    <w:rsid w:val="00390B0F"/>
    <w:rsid w:val="00390B38"/>
    <w:rsid w:val="00390B6B"/>
    <w:rsid w:val="00391CFE"/>
    <w:rsid w:val="00391FD1"/>
    <w:rsid w:val="00392F54"/>
    <w:rsid w:val="0039353B"/>
    <w:rsid w:val="00393E9D"/>
    <w:rsid w:val="00394424"/>
    <w:rsid w:val="00394578"/>
    <w:rsid w:val="003946B9"/>
    <w:rsid w:val="003949A3"/>
    <w:rsid w:val="00394F9E"/>
    <w:rsid w:val="00395426"/>
    <w:rsid w:val="00395536"/>
    <w:rsid w:val="00395B91"/>
    <w:rsid w:val="00395DA3"/>
    <w:rsid w:val="00396615"/>
    <w:rsid w:val="00396B87"/>
    <w:rsid w:val="00396E59"/>
    <w:rsid w:val="00396F68"/>
    <w:rsid w:val="0039700D"/>
    <w:rsid w:val="00397089"/>
    <w:rsid w:val="003978A8"/>
    <w:rsid w:val="003A0AFF"/>
    <w:rsid w:val="003A0F01"/>
    <w:rsid w:val="003A0F30"/>
    <w:rsid w:val="003A19DB"/>
    <w:rsid w:val="003A2FCE"/>
    <w:rsid w:val="003A3026"/>
    <w:rsid w:val="003A35D1"/>
    <w:rsid w:val="003A4C44"/>
    <w:rsid w:val="003A4EC8"/>
    <w:rsid w:val="003A562F"/>
    <w:rsid w:val="003A5AD0"/>
    <w:rsid w:val="003A6CE3"/>
    <w:rsid w:val="003A7899"/>
    <w:rsid w:val="003B0371"/>
    <w:rsid w:val="003B11DD"/>
    <w:rsid w:val="003B1328"/>
    <w:rsid w:val="003B13E8"/>
    <w:rsid w:val="003B15EE"/>
    <w:rsid w:val="003B1CF0"/>
    <w:rsid w:val="003B27F4"/>
    <w:rsid w:val="003B4ACF"/>
    <w:rsid w:val="003B517D"/>
    <w:rsid w:val="003B5D4E"/>
    <w:rsid w:val="003B60AC"/>
    <w:rsid w:val="003B60EC"/>
    <w:rsid w:val="003B646F"/>
    <w:rsid w:val="003B6773"/>
    <w:rsid w:val="003B6808"/>
    <w:rsid w:val="003B73C7"/>
    <w:rsid w:val="003B7A47"/>
    <w:rsid w:val="003B7D9E"/>
    <w:rsid w:val="003C00ED"/>
    <w:rsid w:val="003C0390"/>
    <w:rsid w:val="003C1764"/>
    <w:rsid w:val="003C1C0A"/>
    <w:rsid w:val="003C1C81"/>
    <w:rsid w:val="003C2813"/>
    <w:rsid w:val="003C2975"/>
    <w:rsid w:val="003C2DDF"/>
    <w:rsid w:val="003C35DF"/>
    <w:rsid w:val="003C4A68"/>
    <w:rsid w:val="003C4DA7"/>
    <w:rsid w:val="003C554F"/>
    <w:rsid w:val="003C61DD"/>
    <w:rsid w:val="003C69DF"/>
    <w:rsid w:val="003C6D32"/>
    <w:rsid w:val="003D0463"/>
    <w:rsid w:val="003D1145"/>
    <w:rsid w:val="003D154A"/>
    <w:rsid w:val="003D24D8"/>
    <w:rsid w:val="003D298F"/>
    <w:rsid w:val="003D2B37"/>
    <w:rsid w:val="003D3CF0"/>
    <w:rsid w:val="003D45E2"/>
    <w:rsid w:val="003D490B"/>
    <w:rsid w:val="003D505C"/>
    <w:rsid w:val="003D6204"/>
    <w:rsid w:val="003D63E7"/>
    <w:rsid w:val="003D7346"/>
    <w:rsid w:val="003D7694"/>
    <w:rsid w:val="003D79EB"/>
    <w:rsid w:val="003E05F1"/>
    <w:rsid w:val="003E113B"/>
    <w:rsid w:val="003E18C8"/>
    <w:rsid w:val="003E393E"/>
    <w:rsid w:val="003E48C8"/>
    <w:rsid w:val="003E4938"/>
    <w:rsid w:val="003E49D0"/>
    <w:rsid w:val="003E4F30"/>
    <w:rsid w:val="003E5092"/>
    <w:rsid w:val="003E54EE"/>
    <w:rsid w:val="003E5BB9"/>
    <w:rsid w:val="003E715D"/>
    <w:rsid w:val="003F103E"/>
    <w:rsid w:val="003F147D"/>
    <w:rsid w:val="003F22C0"/>
    <w:rsid w:val="003F235B"/>
    <w:rsid w:val="003F2E48"/>
    <w:rsid w:val="003F321B"/>
    <w:rsid w:val="003F440C"/>
    <w:rsid w:val="003F4EE2"/>
    <w:rsid w:val="003F525A"/>
    <w:rsid w:val="003F5A42"/>
    <w:rsid w:val="003F5FC1"/>
    <w:rsid w:val="003F6282"/>
    <w:rsid w:val="003F66CA"/>
    <w:rsid w:val="003F6EED"/>
    <w:rsid w:val="003F765C"/>
    <w:rsid w:val="003F76D7"/>
    <w:rsid w:val="003F77B8"/>
    <w:rsid w:val="003F7BE6"/>
    <w:rsid w:val="004006A9"/>
    <w:rsid w:val="00400F11"/>
    <w:rsid w:val="00401302"/>
    <w:rsid w:val="0040169B"/>
    <w:rsid w:val="00402CA6"/>
    <w:rsid w:val="004052AE"/>
    <w:rsid w:val="00405694"/>
    <w:rsid w:val="00405A29"/>
    <w:rsid w:val="00405F2D"/>
    <w:rsid w:val="00407030"/>
    <w:rsid w:val="0040728C"/>
    <w:rsid w:val="0040798E"/>
    <w:rsid w:val="00407B92"/>
    <w:rsid w:val="00410FAF"/>
    <w:rsid w:val="004114E8"/>
    <w:rsid w:val="004118A5"/>
    <w:rsid w:val="004128DA"/>
    <w:rsid w:val="0041345F"/>
    <w:rsid w:val="00413672"/>
    <w:rsid w:val="00414041"/>
    <w:rsid w:val="00414465"/>
    <w:rsid w:val="00414729"/>
    <w:rsid w:val="00414ABA"/>
    <w:rsid w:val="00414C80"/>
    <w:rsid w:val="00414F4B"/>
    <w:rsid w:val="00415975"/>
    <w:rsid w:val="00415AE8"/>
    <w:rsid w:val="00415EF9"/>
    <w:rsid w:val="00415EFE"/>
    <w:rsid w:val="004160C4"/>
    <w:rsid w:val="00416629"/>
    <w:rsid w:val="00416855"/>
    <w:rsid w:val="00417DA1"/>
    <w:rsid w:val="00420A20"/>
    <w:rsid w:val="00421A80"/>
    <w:rsid w:val="00421E4D"/>
    <w:rsid w:val="00421F99"/>
    <w:rsid w:val="00421FCB"/>
    <w:rsid w:val="004224CD"/>
    <w:rsid w:val="00422CBE"/>
    <w:rsid w:val="0042312C"/>
    <w:rsid w:val="00423478"/>
    <w:rsid w:val="00424DEC"/>
    <w:rsid w:val="00425B76"/>
    <w:rsid w:val="004260A2"/>
    <w:rsid w:val="00426FC6"/>
    <w:rsid w:val="004273BC"/>
    <w:rsid w:val="00427C5F"/>
    <w:rsid w:val="004301E1"/>
    <w:rsid w:val="00431F11"/>
    <w:rsid w:val="004341EF"/>
    <w:rsid w:val="00434ED6"/>
    <w:rsid w:val="00435330"/>
    <w:rsid w:val="004354B3"/>
    <w:rsid w:val="00435541"/>
    <w:rsid w:val="0043562D"/>
    <w:rsid w:val="00437A3E"/>
    <w:rsid w:val="00437D74"/>
    <w:rsid w:val="00440F4F"/>
    <w:rsid w:val="00441912"/>
    <w:rsid w:val="00441B37"/>
    <w:rsid w:val="00441FC3"/>
    <w:rsid w:val="004422E3"/>
    <w:rsid w:val="004427CE"/>
    <w:rsid w:val="00443EA6"/>
    <w:rsid w:val="0044416C"/>
    <w:rsid w:val="004445C9"/>
    <w:rsid w:val="00444DB8"/>
    <w:rsid w:val="00445371"/>
    <w:rsid w:val="00445FFC"/>
    <w:rsid w:val="0044678D"/>
    <w:rsid w:val="0044719D"/>
    <w:rsid w:val="00447D36"/>
    <w:rsid w:val="004502C8"/>
    <w:rsid w:val="00450655"/>
    <w:rsid w:val="004507E5"/>
    <w:rsid w:val="004508C3"/>
    <w:rsid w:val="00450A74"/>
    <w:rsid w:val="0045127A"/>
    <w:rsid w:val="004519AD"/>
    <w:rsid w:val="00451EBB"/>
    <w:rsid w:val="00452345"/>
    <w:rsid w:val="00452CA1"/>
    <w:rsid w:val="00452F44"/>
    <w:rsid w:val="004530E4"/>
    <w:rsid w:val="00453A55"/>
    <w:rsid w:val="00453F30"/>
    <w:rsid w:val="0045459A"/>
    <w:rsid w:val="00455E95"/>
    <w:rsid w:val="00456484"/>
    <w:rsid w:val="00456812"/>
    <w:rsid w:val="00456841"/>
    <w:rsid w:val="00456C1B"/>
    <w:rsid w:val="0045728B"/>
    <w:rsid w:val="0045770E"/>
    <w:rsid w:val="004579C5"/>
    <w:rsid w:val="00457A0A"/>
    <w:rsid w:val="00460459"/>
    <w:rsid w:val="0046098D"/>
    <w:rsid w:val="00460F76"/>
    <w:rsid w:val="00461DD8"/>
    <w:rsid w:val="00462105"/>
    <w:rsid w:val="0046272D"/>
    <w:rsid w:val="00463050"/>
    <w:rsid w:val="0046340F"/>
    <w:rsid w:val="00463DC0"/>
    <w:rsid w:val="00465130"/>
    <w:rsid w:val="00466107"/>
    <w:rsid w:val="00466168"/>
    <w:rsid w:val="00467879"/>
    <w:rsid w:val="004700FB"/>
    <w:rsid w:val="004714D4"/>
    <w:rsid w:val="0047168F"/>
    <w:rsid w:val="00475712"/>
    <w:rsid w:val="0047673F"/>
    <w:rsid w:val="00477785"/>
    <w:rsid w:val="00477BA6"/>
    <w:rsid w:val="00480CCE"/>
    <w:rsid w:val="00480E0C"/>
    <w:rsid w:val="00482EB9"/>
    <w:rsid w:val="00482FAA"/>
    <w:rsid w:val="00484213"/>
    <w:rsid w:val="00484878"/>
    <w:rsid w:val="004848C9"/>
    <w:rsid w:val="00484B3C"/>
    <w:rsid w:val="00485481"/>
    <w:rsid w:val="00486445"/>
    <w:rsid w:val="00486510"/>
    <w:rsid w:val="004866F2"/>
    <w:rsid w:val="0048742E"/>
    <w:rsid w:val="00490134"/>
    <w:rsid w:val="0049075F"/>
    <w:rsid w:val="00490B41"/>
    <w:rsid w:val="00490D8B"/>
    <w:rsid w:val="004910DA"/>
    <w:rsid w:val="004927DE"/>
    <w:rsid w:val="00492DA8"/>
    <w:rsid w:val="00493F4C"/>
    <w:rsid w:val="004967A4"/>
    <w:rsid w:val="00497539"/>
    <w:rsid w:val="004978BA"/>
    <w:rsid w:val="004A02B0"/>
    <w:rsid w:val="004A0469"/>
    <w:rsid w:val="004A0888"/>
    <w:rsid w:val="004A11E7"/>
    <w:rsid w:val="004A21E1"/>
    <w:rsid w:val="004A27D6"/>
    <w:rsid w:val="004A3929"/>
    <w:rsid w:val="004A3DB9"/>
    <w:rsid w:val="004A43B6"/>
    <w:rsid w:val="004A4616"/>
    <w:rsid w:val="004A58EA"/>
    <w:rsid w:val="004A65AD"/>
    <w:rsid w:val="004A694A"/>
    <w:rsid w:val="004A70EE"/>
    <w:rsid w:val="004A774E"/>
    <w:rsid w:val="004A7B9B"/>
    <w:rsid w:val="004A7D3E"/>
    <w:rsid w:val="004A7E0C"/>
    <w:rsid w:val="004A7FF9"/>
    <w:rsid w:val="004B044F"/>
    <w:rsid w:val="004B1C6C"/>
    <w:rsid w:val="004B3312"/>
    <w:rsid w:val="004B3629"/>
    <w:rsid w:val="004B379D"/>
    <w:rsid w:val="004B3852"/>
    <w:rsid w:val="004B46C3"/>
    <w:rsid w:val="004B5F0C"/>
    <w:rsid w:val="004B6031"/>
    <w:rsid w:val="004B640D"/>
    <w:rsid w:val="004B712B"/>
    <w:rsid w:val="004C046E"/>
    <w:rsid w:val="004C1490"/>
    <w:rsid w:val="004C1609"/>
    <w:rsid w:val="004C1FBD"/>
    <w:rsid w:val="004C216B"/>
    <w:rsid w:val="004C35F4"/>
    <w:rsid w:val="004C3B25"/>
    <w:rsid w:val="004C52F3"/>
    <w:rsid w:val="004C541E"/>
    <w:rsid w:val="004C57C1"/>
    <w:rsid w:val="004C5853"/>
    <w:rsid w:val="004C5DD3"/>
    <w:rsid w:val="004C6268"/>
    <w:rsid w:val="004C6EC0"/>
    <w:rsid w:val="004C7CAC"/>
    <w:rsid w:val="004C7DE4"/>
    <w:rsid w:val="004C7E9D"/>
    <w:rsid w:val="004D096F"/>
    <w:rsid w:val="004D10C9"/>
    <w:rsid w:val="004D30F9"/>
    <w:rsid w:val="004D4A32"/>
    <w:rsid w:val="004D64AB"/>
    <w:rsid w:val="004D6F11"/>
    <w:rsid w:val="004D799A"/>
    <w:rsid w:val="004D7C52"/>
    <w:rsid w:val="004E041A"/>
    <w:rsid w:val="004E1D83"/>
    <w:rsid w:val="004E1FDC"/>
    <w:rsid w:val="004E1FF5"/>
    <w:rsid w:val="004E2143"/>
    <w:rsid w:val="004E323F"/>
    <w:rsid w:val="004E3608"/>
    <w:rsid w:val="004E3F6F"/>
    <w:rsid w:val="004E4174"/>
    <w:rsid w:val="004E53CE"/>
    <w:rsid w:val="004E5F88"/>
    <w:rsid w:val="004E61D6"/>
    <w:rsid w:val="004E7063"/>
    <w:rsid w:val="004E7CE8"/>
    <w:rsid w:val="004F2009"/>
    <w:rsid w:val="004F271D"/>
    <w:rsid w:val="004F2728"/>
    <w:rsid w:val="004F3AFC"/>
    <w:rsid w:val="004F4955"/>
    <w:rsid w:val="004F5114"/>
    <w:rsid w:val="004F5BD9"/>
    <w:rsid w:val="004F6E87"/>
    <w:rsid w:val="004F756C"/>
    <w:rsid w:val="005005DB"/>
    <w:rsid w:val="00500DB2"/>
    <w:rsid w:val="005014A1"/>
    <w:rsid w:val="005019AF"/>
    <w:rsid w:val="00501E6C"/>
    <w:rsid w:val="00502E83"/>
    <w:rsid w:val="005045A1"/>
    <w:rsid w:val="0050488D"/>
    <w:rsid w:val="00504C3B"/>
    <w:rsid w:val="0050527A"/>
    <w:rsid w:val="0050535A"/>
    <w:rsid w:val="005075CA"/>
    <w:rsid w:val="00507CCE"/>
    <w:rsid w:val="00511192"/>
    <w:rsid w:val="005117BE"/>
    <w:rsid w:val="005118AD"/>
    <w:rsid w:val="005135F3"/>
    <w:rsid w:val="005136D3"/>
    <w:rsid w:val="00513C7E"/>
    <w:rsid w:val="00513D3D"/>
    <w:rsid w:val="00514604"/>
    <w:rsid w:val="00514A01"/>
    <w:rsid w:val="00515EDF"/>
    <w:rsid w:val="005162B8"/>
    <w:rsid w:val="0051652A"/>
    <w:rsid w:val="0051662B"/>
    <w:rsid w:val="0052178B"/>
    <w:rsid w:val="00521B45"/>
    <w:rsid w:val="005220C2"/>
    <w:rsid w:val="0052281C"/>
    <w:rsid w:val="00523369"/>
    <w:rsid w:val="0052398F"/>
    <w:rsid w:val="00523F89"/>
    <w:rsid w:val="00524098"/>
    <w:rsid w:val="005252E1"/>
    <w:rsid w:val="005270CF"/>
    <w:rsid w:val="005303E4"/>
    <w:rsid w:val="0053086A"/>
    <w:rsid w:val="00530A68"/>
    <w:rsid w:val="00530F81"/>
    <w:rsid w:val="00530FEC"/>
    <w:rsid w:val="0053135B"/>
    <w:rsid w:val="00531455"/>
    <w:rsid w:val="00531735"/>
    <w:rsid w:val="00531974"/>
    <w:rsid w:val="0053224B"/>
    <w:rsid w:val="005322DA"/>
    <w:rsid w:val="00532330"/>
    <w:rsid w:val="005324D3"/>
    <w:rsid w:val="0053265D"/>
    <w:rsid w:val="00532960"/>
    <w:rsid w:val="005337DA"/>
    <w:rsid w:val="00534FC9"/>
    <w:rsid w:val="00535F3F"/>
    <w:rsid w:val="0053670F"/>
    <w:rsid w:val="00536B3A"/>
    <w:rsid w:val="00537354"/>
    <w:rsid w:val="00537802"/>
    <w:rsid w:val="00537A47"/>
    <w:rsid w:val="0054017D"/>
    <w:rsid w:val="005405E9"/>
    <w:rsid w:val="005420F6"/>
    <w:rsid w:val="0054403F"/>
    <w:rsid w:val="00545A73"/>
    <w:rsid w:val="00545EA0"/>
    <w:rsid w:val="00546DEB"/>
    <w:rsid w:val="00546F0F"/>
    <w:rsid w:val="00547210"/>
    <w:rsid w:val="00547663"/>
    <w:rsid w:val="005477E7"/>
    <w:rsid w:val="0054790B"/>
    <w:rsid w:val="00547EFD"/>
    <w:rsid w:val="00550159"/>
    <w:rsid w:val="0055051D"/>
    <w:rsid w:val="00551463"/>
    <w:rsid w:val="00551E7E"/>
    <w:rsid w:val="00551FFD"/>
    <w:rsid w:val="005524A7"/>
    <w:rsid w:val="00552662"/>
    <w:rsid w:val="005527A2"/>
    <w:rsid w:val="00552A9D"/>
    <w:rsid w:val="00553CBC"/>
    <w:rsid w:val="005542C9"/>
    <w:rsid w:val="00554FFA"/>
    <w:rsid w:val="005551ED"/>
    <w:rsid w:val="00555A61"/>
    <w:rsid w:val="00556419"/>
    <w:rsid w:val="005572B4"/>
    <w:rsid w:val="005572DD"/>
    <w:rsid w:val="005600FE"/>
    <w:rsid w:val="00560564"/>
    <w:rsid w:val="00562443"/>
    <w:rsid w:val="00562E2B"/>
    <w:rsid w:val="0056335C"/>
    <w:rsid w:val="005644CF"/>
    <w:rsid w:val="00564668"/>
    <w:rsid w:val="00564FD9"/>
    <w:rsid w:val="0056548E"/>
    <w:rsid w:val="00570353"/>
    <w:rsid w:val="00570BB1"/>
    <w:rsid w:val="005715F5"/>
    <w:rsid w:val="0057171E"/>
    <w:rsid w:val="00572666"/>
    <w:rsid w:val="0057267E"/>
    <w:rsid w:val="005726BD"/>
    <w:rsid w:val="00574A5A"/>
    <w:rsid w:val="00575CC5"/>
    <w:rsid w:val="00576366"/>
    <w:rsid w:val="00576514"/>
    <w:rsid w:val="00576C01"/>
    <w:rsid w:val="00580A77"/>
    <w:rsid w:val="00580BEE"/>
    <w:rsid w:val="00581008"/>
    <w:rsid w:val="005810EC"/>
    <w:rsid w:val="00581A0F"/>
    <w:rsid w:val="00582BBE"/>
    <w:rsid w:val="00582CAE"/>
    <w:rsid w:val="00583368"/>
    <w:rsid w:val="00583CEA"/>
    <w:rsid w:val="00583ED5"/>
    <w:rsid w:val="00584E61"/>
    <w:rsid w:val="005857D3"/>
    <w:rsid w:val="00585D33"/>
    <w:rsid w:val="005863B0"/>
    <w:rsid w:val="00587437"/>
    <w:rsid w:val="00587649"/>
    <w:rsid w:val="00587B09"/>
    <w:rsid w:val="00590616"/>
    <w:rsid w:val="00590EB8"/>
    <w:rsid w:val="00591CB4"/>
    <w:rsid w:val="00591DCC"/>
    <w:rsid w:val="00592678"/>
    <w:rsid w:val="00592BD8"/>
    <w:rsid w:val="00593E92"/>
    <w:rsid w:val="00594644"/>
    <w:rsid w:val="00594A86"/>
    <w:rsid w:val="0059526F"/>
    <w:rsid w:val="005960BE"/>
    <w:rsid w:val="00596458"/>
    <w:rsid w:val="00596F36"/>
    <w:rsid w:val="005A0549"/>
    <w:rsid w:val="005A09F8"/>
    <w:rsid w:val="005A14D5"/>
    <w:rsid w:val="005A1741"/>
    <w:rsid w:val="005A202F"/>
    <w:rsid w:val="005A2337"/>
    <w:rsid w:val="005A235F"/>
    <w:rsid w:val="005A2B2E"/>
    <w:rsid w:val="005A2B55"/>
    <w:rsid w:val="005A4184"/>
    <w:rsid w:val="005A53F8"/>
    <w:rsid w:val="005A62DE"/>
    <w:rsid w:val="005A6496"/>
    <w:rsid w:val="005A7428"/>
    <w:rsid w:val="005A7508"/>
    <w:rsid w:val="005A751F"/>
    <w:rsid w:val="005A7719"/>
    <w:rsid w:val="005A77C2"/>
    <w:rsid w:val="005B011D"/>
    <w:rsid w:val="005B01D9"/>
    <w:rsid w:val="005B122D"/>
    <w:rsid w:val="005B13E1"/>
    <w:rsid w:val="005B1B32"/>
    <w:rsid w:val="005B291B"/>
    <w:rsid w:val="005B565B"/>
    <w:rsid w:val="005B593C"/>
    <w:rsid w:val="005B59F7"/>
    <w:rsid w:val="005B6CA7"/>
    <w:rsid w:val="005B6ED0"/>
    <w:rsid w:val="005B7111"/>
    <w:rsid w:val="005B76C5"/>
    <w:rsid w:val="005B77D8"/>
    <w:rsid w:val="005B79BF"/>
    <w:rsid w:val="005B79EC"/>
    <w:rsid w:val="005B7AF0"/>
    <w:rsid w:val="005B7B81"/>
    <w:rsid w:val="005B7B8A"/>
    <w:rsid w:val="005C0358"/>
    <w:rsid w:val="005C09C6"/>
    <w:rsid w:val="005C0F9D"/>
    <w:rsid w:val="005C1356"/>
    <w:rsid w:val="005C208F"/>
    <w:rsid w:val="005C3633"/>
    <w:rsid w:val="005C458D"/>
    <w:rsid w:val="005C491E"/>
    <w:rsid w:val="005C5422"/>
    <w:rsid w:val="005C5E0A"/>
    <w:rsid w:val="005C6952"/>
    <w:rsid w:val="005C6C0C"/>
    <w:rsid w:val="005D0478"/>
    <w:rsid w:val="005D0CC3"/>
    <w:rsid w:val="005D2276"/>
    <w:rsid w:val="005D25FD"/>
    <w:rsid w:val="005D2808"/>
    <w:rsid w:val="005D3691"/>
    <w:rsid w:val="005D37D7"/>
    <w:rsid w:val="005D415C"/>
    <w:rsid w:val="005D43D9"/>
    <w:rsid w:val="005D5252"/>
    <w:rsid w:val="005D5C14"/>
    <w:rsid w:val="005D5C2C"/>
    <w:rsid w:val="005D6264"/>
    <w:rsid w:val="005D70C3"/>
    <w:rsid w:val="005D7B0B"/>
    <w:rsid w:val="005E0858"/>
    <w:rsid w:val="005E1F46"/>
    <w:rsid w:val="005E2182"/>
    <w:rsid w:val="005E2794"/>
    <w:rsid w:val="005E3869"/>
    <w:rsid w:val="005E3C23"/>
    <w:rsid w:val="005E3CBF"/>
    <w:rsid w:val="005E4596"/>
    <w:rsid w:val="005E5DFF"/>
    <w:rsid w:val="005E6357"/>
    <w:rsid w:val="005E6EFC"/>
    <w:rsid w:val="005E6F9D"/>
    <w:rsid w:val="005E7B5A"/>
    <w:rsid w:val="005E7CEB"/>
    <w:rsid w:val="005E7DF9"/>
    <w:rsid w:val="005F01FC"/>
    <w:rsid w:val="005F06CA"/>
    <w:rsid w:val="005F086C"/>
    <w:rsid w:val="005F0C89"/>
    <w:rsid w:val="005F0D49"/>
    <w:rsid w:val="005F14CB"/>
    <w:rsid w:val="005F172C"/>
    <w:rsid w:val="005F1CDC"/>
    <w:rsid w:val="005F2D00"/>
    <w:rsid w:val="005F3701"/>
    <w:rsid w:val="005F399A"/>
    <w:rsid w:val="005F3ACB"/>
    <w:rsid w:val="005F41DF"/>
    <w:rsid w:val="005F4521"/>
    <w:rsid w:val="005F5478"/>
    <w:rsid w:val="005F567E"/>
    <w:rsid w:val="005F5DFD"/>
    <w:rsid w:val="005F79CF"/>
    <w:rsid w:val="005F7C3A"/>
    <w:rsid w:val="006006FC"/>
    <w:rsid w:val="006027EA"/>
    <w:rsid w:val="00603446"/>
    <w:rsid w:val="006045BA"/>
    <w:rsid w:val="0060465E"/>
    <w:rsid w:val="0060487E"/>
    <w:rsid w:val="00604ACC"/>
    <w:rsid w:val="006050AC"/>
    <w:rsid w:val="0060583A"/>
    <w:rsid w:val="006058D5"/>
    <w:rsid w:val="00606116"/>
    <w:rsid w:val="006105F0"/>
    <w:rsid w:val="00610980"/>
    <w:rsid w:val="00610FF2"/>
    <w:rsid w:val="00611649"/>
    <w:rsid w:val="0061183E"/>
    <w:rsid w:val="00611A0E"/>
    <w:rsid w:val="00614154"/>
    <w:rsid w:val="00614384"/>
    <w:rsid w:val="006146E9"/>
    <w:rsid w:val="00614BD3"/>
    <w:rsid w:val="00614D4E"/>
    <w:rsid w:val="006150AE"/>
    <w:rsid w:val="0061728A"/>
    <w:rsid w:val="00617A57"/>
    <w:rsid w:val="00617AE2"/>
    <w:rsid w:val="00621B4C"/>
    <w:rsid w:val="0062249D"/>
    <w:rsid w:val="00622ADA"/>
    <w:rsid w:val="006230C5"/>
    <w:rsid w:val="00623263"/>
    <w:rsid w:val="00623271"/>
    <w:rsid w:val="00623A77"/>
    <w:rsid w:val="00624127"/>
    <w:rsid w:val="006255B1"/>
    <w:rsid w:val="006256F5"/>
    <w:rsid w:val="00625D94"/>
    <w:rsid w:val="00626306"/>
    <w:rsid w:val="0062682D"/>
    <w:rsid w:val="00630198"/>
    <w:rsid w:val="0063097B"/>
    <w:rsid w:val="00631598"/>
    <w:rsid w:val="00631D07"/>
    <w:rsid w:val="00632376"/>
    <w:rsid w:val="00633971"/>
    <w:rsid w:val="0063576C"/>
    <w:rsid w:val="006357AC"/>
    <w:rsid w:val="00635AFA"/>
    <w:rsid w:val="006364B8"/>
    <w:rsid w:val="00636A64"/>
    <w:rsid w:val="00636B93"/>
    <w:rsid w:val="006370ED"/>
    <w:rsid w:val="006376A5"/>
    <w:rsid w:val="00637DC5"/>
    <w:rsid w:val="00637F6F"/>
    <w:rsid w:val="00640550"/>
    <w:rsid w:val="006411DD"/>
    <w:rsid w:val="006411F7"/>
    <w:rsid w:val="0064121A"/>
    <w:rsid w:val="00641497"/>
    <w:rsid w:val="00641B5A"/>
    <w:rsid w:val="006424C1"/>
    <w:rsid w:val="00643201"/>
    <w:rsid w:val="0064326A"/>
    <w:rsid w:val="006438C8"/>
    <w:rsid w:val="0064395C"/>
    <w:rsid w:val="006439CD"/>
    <w:rsid w:val="00644388"/>
    <w:rsid w:val="00644D5D"/>
    <w:rsid w:val="006457B2"/>
    <w:rsid w:val="00645917"/>
    <w:rsid w:val="00645A6E"/>
    <w:rsid w:val="00646335"/>
    <w:rsid w:val="006466F6"/>
    <w:rsid w:val="00646DC7"/>
    <w:rsid w:val="0064775D"/>
    <w:rsid w:val="006504BA"/>
    <w:rsid w:val="006511BD"/>
    <w:rsid w:val="006511FB"/>
    <w:rsid w:val="0065188D"/>
    <w:rsid w:val="00651A9D"/>
    <w:rsid w:val="00651FEF"/>
    <w:rsid w:val="00654639"/>
    <w:rsid w:val="00655F0B"/>
    <w:rsid w:val="00656092"/>
    <w:rsid w:val="0065613F"/>
    <w:rsid w:val="00656606"/>
    <w:rsid w:val="0065680F"/>
    <w:rsid w:val="0065741C"/>
    <w:rsid w:val="00657820"/>
    <w:rsid w:val="006578AA"/>
    <w:rsid w:val="00660B85"/>
    <w:rsid w:val="00660F88"/>
    <w:rsid w:val="0066194E"/>
    <w:rsid w:val="00661BD7"/>
    <w:rsid w:val="00661FFB"/>
    <w:rsid w:val="006633C2"/>
    <w:rsid w:val="00663A78"/>
    <w:rsid w:val="00663ABA"/>
    <w:rsid w:val="00663B99"/>
    <w:rsid w:val="00664605"/>
    <w:rsid w:val="00664F6D"/>
    <w:rsid w:val="006650B8"/>
    <w:rsid w:val="00665719"/>
    <w:rsid w:val="00665824"/>
    <w:rsid w:val="00666329"/>
    <w:rsid w:val="00666DED"/>
    <w:rsid w:val="006672EE"/>
    <w:rsid w:val="00667B28"/>
    <w:rsid w:val="00667F6E"/>
    <w:rsid w:val="0067011F"/>
    <w:rsid w:val="0067015E"/>
    <w:rsid w:val="006705DA"/>
    <w:rsid w:val="00671D6A"/>
    <w:rsid w:val="0067230E"/>
    <w:rsid w:val="006737F8"/>
    <w:rsid w:val="00673C04"/>
    <w:rsid w:val="00676C27"/>
    <w:rsid w:val="00677DB5"/>
    <w:rsid w:val="00680453"/>
    <w:rsid w:val="00680CEB"/>
    <w:rsid w:val="006811E6"/>
    <w:rsid w:val="006814E4"/>
    <w:rsid w:val="00681F7F"/>
    <w:rsid w:val="006824B3"/>
    <w:rsid w:val="00682526"/>
    <w:rsid w:val="00682C33"/>
    <w:rsid w:val="00683555"/>
    <w:rsid w:val="00683C60"/>
    <w:rsid w:val="00683D98"/>
    <w:rsid w:val="00684419"/>
    <w:rsid w:val="00685B74"/>
    <w:rsid w:val="006861F8"/>
    <w:rsid w:val="00686F1D"/>
    <w:rsid w:val="00687FBC"/>
    <w:rsid w:val="006905F8"/>
    <w:rsid w:val="006908B1"/>
    <w:rsid w:val="006908F9"/>
    <w:rsid w:val="006918B7"/>
    <w:rsid w:val="0069252C"/>
    <w:rsid w:val="00692F7A"/>
    <w:rsid w:val="0069355B"/>
    <w:rsid w:val="006935D5"/>
    <w:rsid w:val="00694AD2"/>
    <w:rsid w:val="0069500C"/>
    <w:rsid w:val="006952C6"/>
    <w:rsid w:val="00695E06"/>
    <w:rsid w:val="00696315"/>
    <w:rsid w:val="00696409"/>
    <w:rsid w:val="006965D0"/>
    <w:rsid w:val="00696890"/>
    <w:rsid w:val="006972BA"/>
    <w:rsid w:val="006A0362"/>
    <w:rsid w:val="006A04DF"/>
    <w:rsid w:val="006A061A"/>
    <w:rsid w:val="006A0D51"/>
    <w:rsid w:val="006A1C05"/>
    <w:rsid w:val="006A225B"/>
    <w:rsid w:val="006A2331"/>
    <w:rsid w:val="006A2E85"/>
    <w:rsid w:val="006A30D2"/>
    <w:rsid w:val="006A3793"/>
    <w:rsid w:val="006A4C44"/>
    <w:rsid w:val="006A5147"/>
    <w:rsid w:val="006A5A6A"/>
    <w:rsid w:val="006A5C33"/>
    <w:rsid w:val="006A5FE3"/>
    <w:rsid w:val="006A66F3"/>
    <w:rsid w:val="006A6A19"/>
    <w:rsid w:val="006B057D"/>
    <w:rsid w:val="006B16D6"/>
    <w:rsid w:val="006B23B2"/>
    <w:rsid w:val="006B34FD"/>
    <w:rsid w:val="006B3DFD"/>
    <w:rsid w:val="006B4845"/>
    <w:rsid w:val="006B49B6"/>
    <w:rsid w:val="006B635C"/>
    <w:rsid w:val="006B698D"/>
    <w:rsid w:val="006B6CD5"/>
    <w:rsid w:val="006B7548"/>
    <w:rsid w:val="006C004B"/>
    <w:rsid w:val="006C00A8"/>
    <w:rsid w:val="006C079A"/>
    <w:rsid w:val="006C0E3A"/>
    <w:rsid w:val="006C12CA"/>
    <w:rsid w:val="006C1708"/>
    <w:rsid w:val="006C1C29"/>
    <w:rsid w:val="006C2052"/>
    <w:rsid w:val="006C30F9"/>
    <w:rsid w:val="006C3CDE"/>
    <w:rsid w:val="006C3D39"/>
    <w:rsid w:val="006C4745"/>
    <w:rsid w:val="006C4A3B"/>
    <w:rsid w:val="006C4AA6"/>
    <w:rsid w:val="006C545E"/>
    <w:rsid w:val="006C5E7F"/>
    <w:rsid w:val="006C634B"/>
    <w:rsid w:val="006C7782"/>
    <w:rsid w:val="006C784A"/>
    <w:rsid w:val="006C7D81"/>
    <w:rsid w:val="006D009F"/>
    <w:rsid w:val="006D0249"/>
    <w:rsid w:val="006D0CED"/>
    <w:rsid w:val="006D0EE8"/>
    <w:rsid w:val="006D203A"/>
    <w:rsid w:val="006D2D1E"/>
    <w:rsid w:val="006D2EF7"/>
    <w:rsid w:val="006D2FBF"/>
    <w:rsid w:val="006D304A"/>
    <w:rsid w:val="006D3162"/>
    <w:rsid w:val="006D3499"/>
    <w:rsid w:val="006D34F7"/>
    <w:rsid w:val="006D37E7"/>
    <w:rsid w:val="006D3D3E"/>
    <w:rsid w:val="006D4751"/>
    <w:rsid w:val="006D5146"/>
    <w:rsid w:val="006D59D6"/>
    <w:rsid w:val="006D5B38"/>
    <w:rsid w:val="006D5C04"/>
    <w:rsid w:val="006D624E"/>
    <w:rsid w:val="006D7508"/>
    <w:rsid w:val="006D7D28"/>
    <w:rsid w:val="006D7E0E"/>
    <w:rsid w:val="006D7EF7"/>
    <w:rsid w:val="006E029D"/>
    <w:rsid w:val="006E0A07"/>
    <w:rsid w:val="006E0F2F"/>
    <w:rsid w:val="006E0F5F"/>
    <w:rsid w:val="006E19D7"/>
    <w:rsid w:val="006E5C61"/>
    <w:rsid w:val="006E69FC"/>
    <w:rsid w:val="006E6DDD"/>
    <w:rsid w:val="006E71B9"/>
    <w:rsid w:val="006E736F"/>
    <w:rsid w:val="006F1B7A"/>
    <w:rsid w:val="006F2A9B"/>
    <w:rsid w:val="006F39B2"/>
    <w:rsid w:val="006F4FBC"/>
    <w:rsid w:val="006F5384"/>
    <w:rsid w:val="006F5753"/>
    <w:rsid w:val="006F64EC"/>
    <w:rsid w:val="006F6604"/>
    <w:rsid w:val="006F701A"/>
    <w:rsid w:val="006F71D8"/>
    <w:rsid w:val="006F71DD"/>
    <w:rsid w:val="006F799C"/>
    <w:rsid w:val="006F7D1A"/>
    <w:rsid w:val="0070101C"/>
    <w:rsid w:val="0070346C"/>
    <w:rsid w:val="007041ED"/>
    <w:rsid w:val="00704505"/>
    <w:rsid w:val="00704F55"/>
    <w:rsid w:val="007051A0"/>
    <w:rsid w:val="00705B73"/>
    <w:rsid w:val="00705EAB"/>
    <w:rsid w:val="0070644F"/>
    <w:rsid w:val="00706496"/>
    <w:rsid w:val="00706B37"/>
    <w:rsid w:val="00706BA0"/>
    <w:rsid w:val="007100A8"/>
    <w:rsid w:val="007114D5"/>
    <w:rsid w:val="00711526"/>
    <w:rsid w:val="00711A12"/>
    <w:rsid w:val="00711B00"/>
    <w:rsid w:val="00711F11"/>
    <w:rsid w:val="0071307C"/>
    <w:rsid w:val="00714345"/>
    <w:rsid w:val="0071447E"/>
    <w:rsid w:val="00714760"/>
    <w:rsid w:val="00715DB9"/>
    <w:rsid w:val="00715EDF"/>
    <w:rsid w:val="0071697E"/>
    <w:rsid w:val="00720E2A"/>
    <w:rsid w:val="00720F18"/>
    <w:rsid w:val="007218A0"/>
    <w:rsid w:val="00722E80"/>
    <w:rsid w:val="007238AF"/>
    <w:rsid w:val="00724453"/>
    <w:rsid w:val="007249D6"/>
    <w:rsid w:val="00726908"/>
    <w:rsid w:val="007270C7"/>
    <w:rsid w:val="00730F3A"/>
    <w:rsid w:val="007312F9"/>
    <w:rsid w:val="007322C3"/>
    <w:rsid w:val="007325C5"/>
    <w:rsid w:val="0073347A"/>
    <w:rsid w:val="0073389E"/>
    <w:rsid w:val="00733C54"/>
    <w:rsid w:val="00733EED"/>
    <w:rsid w:val="00735105"/>
    <w:rsid w:val="0073591B"/>
    <w:rsid w:val="00735AD3"/>
    <w:rsid w:val="00735B3F"/>
    <w:rsid w:val="00735C9B"/>
    <w:rsid w:val="00735F34"/>
    <w:rsid w:val="007366FC"/>
    <w:rsid w:val="0073732E"/>
    <w:rsid w:val="00737F0A"/>
    <w:rsid w:val="00737FE0"/>
    <w:rsid w:val="00740C0B"/>
    <w:rsid w:val="00741200"/>
    <w:rsid w:val="00741333"/>
    <w:rsid w:val="0074167F"/>
    <w:rsid w:val="007417E7"/>
    <w:rsid w:val="00741BF9"/>
    <w:rsid w:val="00742FF2"/>
    <w:rsid w:val="00744D6A"/>
    <w:rsid w:val="00745D9E"/>
    <w:rsid w:val="00746138"/>
    <w:rsid w:val="0074620A"/>
    <w:rsid w:val="00747E24"/>
    <w:rsid w:val="0075075D"/>
    <w:rsid w:val="00750B4D"/>
    <w:rsid w:val="00751981"/>
    <w:rsid w:val="00751D50"/>
    <w:rsid w:val="007527D5"/>
    <w:rsid w:val="00752DB5"/>
    <w:rsid w:val="00752F3C"/>
    <w:rsid w:val="00753941"/>
    <w:rsid w:val="0075440A"/>
    <w:rsid w:val="007561FC"/>
    <w:rsid w:val="00761669"/>
    <w:rsid w:val="00761D34"/>
    <w:rsid w:val="00761EE0"/>
    <w:rsid w:val="00762100"/>
    <w:rsid w:val="00762D2D"/>
    <w:rsid w:val="0076359B"/>
    <w:rsid w:val="00763B2B"/>
    <w:rsid w:val="00763C3E"/>
    <w:rsid w:val="00764331"/>
    <w:rsid w:val="00764622"/>
    <w:rsid w:val="00764CAD"/>
    <w:rsid w:val="007657E9"/>
    <w:rsid w:val="007659A5"/>
    <w:rsid w:val="00765C27"/>
    <w:rsid w:val="00770AD4"/>
    <w:rsid w:val="00770CC8"/>
    <w:rsid w:val="00770FA1"/>
    <w:rsid w:val="0077216F"/>
    <w:rsid w:val="00773884"/>
    <w:rsid w:val="00773AE1"/>
    <w:rsid w:val="0077440B"/>
    <w:rsid w:val="00774813"/>
    <w:rsid w:val="007748FD"/>
    <w:rsid w:val="00774AE1"/>
    <w:rsid w:val="00775E15"/>
    <w:rsid w:val="00775E34"/>
    <w:rsid w:val="007762D2"/>
    <w:rsid w:val="007766DD"/>
    <w:rsid w:val="00777D88"/>
    <w:rsid w:val="00780352"/>
    <w:rsid w:val="0078052A"/>
    <w:rsid w:val="007812FB"/>
    <w:rsid w:val="00781695"/>
    <w:rsid w:val="007826E0"/>
    <w:rsid w:val="007827CF"/>
    <w:rsid w:val="00782B1B"/>
    <w:rsid w:val="0078365B"/>
    <w:rsid w:val="00784032"/>
    <w:rsid w:val="00784388"/>
    <w:rsid w:val="00785B40"/>
    <w:rsid w:val="00785E7C"/>
    <w:rsid w:val="00786849"/>
    <w:rsid w:val="00786888"/>
    <w:rsid w:val="00786D0F"/>
    <w:rsid w:val="00786E79"/>
    <w:rsid w:val="007871E2"/>
    <w:rsid w:val="007872DD"/>
    <w:rsid w:val="00787353"/>
    <w:rsid w:val="00787925"/>
    <w:rsid w:val="00787AD2"/>
    <w:rsid w:val="00790E31"/>
    <w:rsid w:val="00793B87"/>
    <w:rsid w:val="007951BE"/>
    <w:rsid w:val="0079566E"/>
    <w:rsid w:val="00795B8D"/>
    <w:rsid w:val="00796509"/>
    <w:rsid w:val="0079691E"/>
    <w:rsid w:val="00797723"/>
    <w:rsid w:val="0079784E"/>
    <w:rsid w:val="007A066F"/>
    <w:rsid w:val="007A1AF1"/>
    <w:rsid w:val="007A3ACD"/>
    <w:rsid w:val="007A46B7"/>
    <w:rsid w:val="007A5ACC"/>
    <w:rsid w:val="007A650B"/>
    <w:rsid w:val="007A754A"/>
    <w:rsid w:val="007B00F8"/>
    <w:rsid w:val="007B06EF"/>
    <w:rsid w:val="007B11A0"/>
    <w:rsid w:val="007B1776"/>
    <w:rsid w:val="007B1EEE"/>
    <w:rsid w:val="007B249B"/>
    <w:rsid w:val="007B351A"/>
    <w:rsid w:val="007B36F1"/>
    <w:rsid w:val="007B5648"/>
    <w:rsid w:val="007B6D4D"/>
    <w:rsid w:val="007B731C"/>
    <w:rsid w:val="007B7C2A"/>
    <w:rsid w:val="007B7E8E"/>
    <w:rsid w:val="007C0F7A"/>
    <w:rsid w:val="007C1F14"/>
    <w:rsid w:val="007C2596"/>
    <w:rsid w:val="007C5744"/>
    <w:rsid w:val="007C595F"/>
    <w:rsid w:val="007C5BA6"/>
    <w:rsid w:val="007C6087"/>
    <w:rsid w:val="007C7051"/>
    <w:rsid w:val="007C7E70"/>
    <w:rsid w:val="007D0188"/>
    <w:rsid w:val="007D0A07"/>
    <w:rsid w:val="007D0C7A"/>
    <w:rsid w:val="007D20DC"/>
    <w:rsid w:val="007D2345"/>
    <w:rsid w:val="007D24A9"/>
    <w:rsid w:val="007D27FA"/>
    <w:rsid w:val="007D30B5"/>
    <w:rsid w:val="007D32C4"/>
    <w:rsid w:val="007D32FC"/>
    <w:rsid w:val="007D5FA4"/>
    <w:rsid w:val="007D6218"/>
    <w:rsid w:val="007D6699"/>
    <w:rsid w:val="007D7378"/>
    <w:rsid w:val="007D73EE"/>
    <w:rsid w:val="007D75CF"/>
    <w:rsid w:val="007D7C45"/>
    <w:rsid w:val="007D7E30"/>
    <w:rsid w:val="007E00D8"/>
    <w:rsid w:val="007E1D03"/>
    <w:rsid w:val="007E2066"/>
    <w:rsid w:val="007E3DCB"/>
    <w:rsid w:val="007E490C"/>
    <w:rsid w:val="007E4C95"/>
    <w:rsid w:val="007E51EC"/>
    <w:rsid w:val="007E55BF"/>
    <w:rsid w:val="007E59CF"/>
    <w:rsid w:val="007E6419"/>
    <w:rsid w:val="007F06C3"/>
    <w:rsid w:val="007F1D14"/>
    <w:rsid w:val="007F1D82"/>
    <w:rsid w:val="007F21BA"/>
    <w:rsid w:val="007F314F"/>
    <w:rsid w:val="007F4F7A"/>
    <w:rsid w:val="007F6815"/>
    <w:rsid w:val="007F69A1"/>
    <w:rsid w:val="007F6F89"/>
    <w:rsid w:val="007F7807"/>
    <w:rsid w:val="008001AF"/>
    <w:rsid w:val="00800B5D"/>
    <w:rsid w:val="0080154F"/>
    <w:rsid w:val="00803077"/>
    <w:rsid w:val="00803EF2"/>
    <w:rsid w:val="0080681B"/>
    <w:rsid w:val="0080738C"/>
    <w:rsid w:val="00807DA9"/>
    <w:rsid w:val="008102EC"/>
    <w:rsid w:val="00810B77"/>
    <w:rsid w:val="00810C00"/>
    <w:rsid w:val="00810F72"/>
    <w:rsid w:val="00811EFC"/>
    <w:rsid w:val="00812548"/>
    <w:rsid w:val="008132F4"/>
    <w:rsid w:val="008138AC"/>
    <w:rsid w:val="008141FD"/>
    <w:rsid w:val="00814FC3"/>
    <w:rsid w:val="00815B5D"/>
    <w:rsid w:val="0081605A"/>
    <w:rsid w:val="00817436"/>
    <w:rsid w:val="00817DF1"/>
    <w:rsid w:val="008208A2"/>
    <w:rsid w:val="0082270C"/>
    <w:rsid w:val="008238B5"/>
    <w:rsid w:val="0082419F"/>
    <w:rsid w:val="0082542D"/>
    <w:rsid w:val="00825E96"/>
    <w:rsid w:val="008260CC"/>
    <w:rsid w:val="00827834"/>
    <w:rsid w:val="00827B14"/>
    <w:rsid w:val="008304D8"/>
    <w:rsid w:val="0083101E"/>
    <w:rsid w:val="0083218B"/>
    <w:rsid w:val="00832835"/>
    <w:rsid w:val="00833699"/>
    <w:rsid w:val="00833EAB"/>
    <w:rsid w:val="008343BC"/>
    <w:rsid w:val="00835110"/>
    <w:rsid w:val="008351FC"/>
    <w:rsid w:val="008358CF"/>
    <w:rsid w:val="008373BE"/>
    <w:rsid w:val="0084000E"/>
    <w:rsid w:val="008416E5"/>
    <w:rsid w:val="008417D4"/>
    <w:rsid w:val="00841F50"/>
    <w:rsid w:val="008427E3"/>
    <w:rsid w:val="00842E34"/>
    <w:rsid w:val="00842F4F"/>
    <w:rsid w:val="0084350D"/>
    <w:rsid w:val="00843A0E"/>
    <w:rsid w:val="00843CDE"/>
    <w:rsid w:val="00844767"/>
    <w:rsid w:val="0084575C"/>
    <w:rsid w:val="00845DFE"/>
    <w:rsid w:val="008466A2"/>
    <w:rsid w:val="00846E17"/>
    <w:rsid w:val="00847D44"/>
    <w:rsid w:val="00847E62"/>
    <w:rsid w:val="00850A34"/>
    <w:rsid w:val="008516E1"/>
    <w:rsid w:val="00851DE7"/>
    <w:rsid w:val="00852758"/>
    <w:rsid w:val="00854034"/>
    <w:rsid w:val="00854283"/>
    <w:rsid w:val="008543F1"/>
    <w:rsid w:val="008557FC"/>
    <w:rsid w:val="00855FD7"/>
    <w:rsid w:val="008564C2"/>
    <w:rsid w:val="0085657A"/>
    <w:rsid w:val="00856739"/>
    <w:rsid w:val="00856BDE"/>
    <w:rsid w:val="00856E9B"/>
    <w:rsid w:val="0085706D"/>
    <w:rsid w:val="008573E3"/>
    <w:rsid w:val="00857647"/>
    <w:rsid w:val="008603CA"/>
    <w:rsid w:val="00860C80"/>
    <w:rsid w:val="00861370"/>
    <w:rsid w:val="00861E81"/>
    <w:rsid w:val="008629AF"/>
    <w:rsid w:val="00864155"/>
    <w:rsid w:val="008642CD"/>
    <w:rsid w:val="00864498"/>
    <w:rsid w:val="008645FF"/>
    <w:rsid w:val="00865274"/>
    <w:rsid w:val="00866D42"/>
    <w:rsid w:val="008672F5"/>
    <w:rsid w:val="0087030E"/>
    <w:rsid w:val="00870315"/>
    <w:rsid w:val="00870AAC"/>
    <w:rsid w:val="00870FE2"/>
    <w:rsid w:val="008712E2"/>
    <w:rsid w:val="00871356"/>
    <w:rsid w:val="00872B36"/>
    <w:rsid w:val="008734F7"/>
    <w:rsid w:val="00873DA5"/>
    <w:rsid w:val="00874E9F"/>
    <w:rsid w:val="00876F73"/>
    <w:rsid w:val="00877842"/>
    <w:rsid w:val="008779B3"/>
    <w:rsid w:val="008808E2"/>
    <w:rsid w:val="00881456"/>
    <w:rsid w:val="00881ACB"/>
    <w:rsid w:val="0088232E"/>
    <w:rsid w:val="00883952"/>
    <w:rsid w:val="00885FC9"/>
    <w:rsid w:val="00886F64"/>
    <w:rsid w:val="008870D4"/>
    <w:rsid w:val="008902D3"/>
    <w:rsid w:val="00891328"/>
    <w:rsid w:val="00891A47"/>
    <w:rsid w:val="00892809"/>
    <w:rsid w:val="0089370F"/>
    <w:rsid w:val="008939AF"/>
    <w:rsid w:val="00893FED"/>
    <w:rsid w:val="00894286"/>
    <w:rsid w:val="008942B4"/>
    <w:rsid w:val="0089449A"/>
    <w:rsid w:val="00894A22"/>
    <w:rsid w:val="00894F15"/>
    <w:rsid w:val="008951AB"/>
    <w:rsid w:val="0089536D"/>
    <w:rsid w:val="00895462"/>
    <w:rsid w:val="00895C8C"/>
    <w:rsid w:val="00895E48"/>
    <w:rsid w:val="008960DF"/>
    <w:rsid w:val="00896687"/>
    <w:rsid w:val="00896D0A"/>
    <w:rsid w:val="008971F4"/>
    <w:rsid w:val="008A0882"/>
    <w:rsid w:val="008A0E7D"/>
    <w:rsid w:val="008A2799"/>
    <w:rsid w:val="008A2B7F"/>
    <w:rsid w:val="008A3023"/>
    <w:rsid w:val="008A34D6"/>
    <w:rsid w:val="008A403F"/>
    <w:rsid w:val="008A41EF"/>
    <w:rsid w:val="008A523C"/>
    <w:rsid w:val="008A5849"/>
    <w:rsid w:val="008A6815"/>
    <w:rsid w:val="008A6D0F"/>
    <w:rsid w:val="008A7DBF"/>
    <w:rsid w:val="008B0376"/>
    <w:rsid w:val="008B0DE1"/>
    <w:rsid w:val="008B1031"/>
    <w:rsid w:val="008B198C"/>
    <w:rsid w:val="008B2303"/>
    <w:rsid w:val="008B2B7F"/>
    <w:rsid w:val="008B2DB6"/>
    <w:rsid w:val="008B30A0"/>
    <w:rsid w:val="008B3260"/>
    <w:rsid w:val="008B34A0"/>
    <w:rsid w:val="008B3504"/>
    <w:rsid w:val="008B38BC"/>
    <w:rsid w:val="008B3FB2"/>
    <w:rsid w:val="008B5740"/>
    <w:rsid w:val="008B63E9"/>
    <w:rsid w:val="008B656C"/>
    <w:rsid w:val="008B6B01"/>
    <w:rsid w:val="008B6C1A"/>
    <w:rsid w:val="008B70E6"/>
    <w:rsid w:val="008B7405"/>
    <w:rsid w:val="008C0774"/>
    <w:rsid w:val="008C0B84"/>
    <w:rsid w:val="008C41DA"/>
    <w:rsid w:val="008C4FC9"/>
    <w:rsid w:val="008C553A"/>
    <w:rsid w:val="008C588E"/>
    <w:rsid w:val="008C66A7"/>
    <w:rsid w:val="008C6A89"/>
    <w:rsid w:val="008C70C7"/>
    <w:rsid w:val="008C7226"/>
    <w:rsid w:val="008C7B13"/>
    <w:rsid w:val="008C7C4C"/>
    <w:rsid w:val="008D013D"/>
    <w:rsid w:val="008D07FD"/>
    <w:rsid w:val="008D2BEA"/>
    <w:rsid w:val="008D35B1"/>
    <w:rsid w:val="008D6F98"/>
    <w:rsid w:val="008D7B80"/>
    <w:rsid w:val="008D7D35"/>
    <w:rsid w:val="008D7D7A"/>
    <w:rsid w:val="008E04A3"/>
    <w:rsid w:val="008E0809"/>
    <w:rsid w:val="008E09AB"/>
    <w:rsid w:val="008E1993"/>
    <w:rsid w:val="008E3F0C"/>
    <w:rsid w:val="008E3F36"/>
    <w:rsid w:val="008E3FD8"/>
    <w:rsid w:val="008E4184"/>
    <w:rsid w:val="008E43CD"/>
    <w:rsid w:val="008E4CC8"/>
    <w:rsid w:val="008E549F"/>
    <w:rsid w:val="008E6301"/>
    <w:rsid w:val="008E6422"/>
    <w:rsid w:val="008E7283"/>
    <w:rsid w:val="008E7382"/>
    <w:rsid w:val="008E7E1B"/>
    <w:rsid w:val="008E7EEA"/>
    <w:rsid w:val="008F0363"/>
    <w:rsid w:val="008F10BC"/>
    <w:rsid w:val="008F12C3"/>
    <w:rsid w:val="008F147C"/>
    <w:rsid w:val="008F1562"/>
    <w:rsid w:val="008F2052"/>
    <w:rsid w:val="008F26ED"/>
    <w:rsid w:val="008F2A38"/>
    <w:rsid w:val="008F2BF3"/>
    <w:rsid w:val="008F3012"/>
    <w:rsid w:val="008F30F0"/>
    <w:rsid w:val="008F34B7"/>
    <w:rsid w:val="008F3DF6"/>
    <w:rsid w:val="008F499C"/>
    <w:rsid w:val="008F50F6"/>
    <w:rsid w:val="008F58A3"/>
    <w:rsid w:val="008F592B"/>
    <w:rsid w:val="0090137C"/>
    <w:rsid w:val="0090185F"/>
    <w:rsid w:val="00901D89"/>
    <w:rsid w:val="009021D3"/>
    <w:rsid w:val="00902C24"/>
    <w:rsid w:val="0090307E"/>
    <w:rsid w:val="009036D7"/>
    <w:rsid w:val="00903775"/>
    <w:rsid w:val="00906809"/>
    <w:rsid w:val="009078DE"/>
    <w:rsid w:val="00907A40"/>
    <w:rsid w:val="00907B53"/>
    <w:rsid w:val="0091079F"/>
    <w:rsid w:val="0091096C"/>
    <w:rsid w:val="009109F7"/>
    <w:rsid w:val="009112F1"/>
    <w:rsid w:val="009114F7"/>
    <w:rsid w:val="00912137"/>
    <w:rsid w:val="009127CB"/>
    <w:rsid w:val="009129AB"/>
    <w:rsid w:val="009134ED"/>
    <w:rsid w:val="0091395D"/>
    <w:rsid w:val="0091410C"/>
    <w:rsid w:val="009146CF"/>
    <w:rsid w:val="009151B5"/>
    <w:rsid w:val="009158C6"/>
    <w:rsid w:val="00915BED"/>
    <w:rsid w:val="009165D9"/>
    <w:rsid w:val="009166BB"/>
    <w:rsid w:val="00916AD8"/>
    <w:rsid w:val="00916B64"/>
    <w:rsid w:val="00917554"/>
    <w:rsid w:val="0091780A"/>
    <w:rsid w:val="00920BF7"/>
    <w:rsid w:val="0092145D"/>
    <w:rsid w:val="00922E30"/>
    <w:rsid w:val="00923119"/>
    <w:rsid w:val="00923E7A"/>
    <w:rsid w:val="009245DE"/>
    <w:rsid w:val="00927E28"/>
    <w:rsid w:val="00930762"/>
    <w:rsid w:val="009309EB"/>
    <w:rsid w:val="00930C0C"/>
    <w:rsid w:val="0093174D"/>
    <w:rsid w:val="0093433C"/>
    <w:rsid w:val="0093474B"/>
    <w:rsid w:val="009355F8"/>
    <w:rsid w:val="00935FBE"/>
    <w:rsid w:val="00936528"/>
    <w:rsid w:val="00936614"/>
    <w:rsid w:val="00936B81"/>
    <w:rsid w:val="00936BD0"/>
    <w:rsid w:val="009371B4"/>
    <w:rsid w:val="00937896"/>
    <w:rsid w:val="00940D2C"/>
    <w:rsid w:val="009415F4"/>
    <w:rsid w:val="00941BC5"/>
    <w:rsid w:val="00941FF2"/>
    <w:rsid w:val="009429FB"/>
    <w:rsid w:val="00942AEE"/>
    <w:rsid w:val="00942BBB"/>
    <w:rsid w:val="009436CA"/>
    <w:rsid w:val="00944701"/>
    <w:rsid w:val="0094493E"/>
    <w:rsid w:val="009450E2"/>
    <w:rsid w:val="00947A23"/>
    <w:rsid w:val="00950ED1"/>
    <w:rsid w:val="0095239B"/>
    <w:rsid w:val="009528CC"/>
    <w:rsid w:val="00953233"/>
    <w:rsid w:val="009534FD"/>
    <w:rsid w:val="00954277"/>
    <w:rsid w:val="0095441D"/>
    <w:rsid w:val="0095444E"/>
    <w:rsid w:val="00955138"/>
    <w:rsid w:val="00955ACC"/>
    <w:rsid w:val="00955C67"/>
    <w:rsid w:val="00955D21"/>
    <w:rsid w:val="00955DC2"/>
    <w:rsid w:val="00955EF0"/>
    <w:rsid w:val="00956239"/>
    <w:rsid w:val="00956303"/>
    <w:rsid w:val="00957307"/>
    <w:rsid w:val="00957B65"/>
    <w:rsid w:val="009604AA"/>
    <w:rsid w:val="00960AFF"/>
    <w:rsid w:val="00961ABB"/>
    <w:rsid w:val="009621F4"/>
    <w:rsid w:val="0096337C"/>
    <w:rsid w:val="009633DF"/>
    <w:rsid w:val="00963F62"/>
    <w:rsid w:val="00964406"/>
    <w:rsid w:val="0096485D"/>
    <w:rsid w:val="009649E2"/>
    <w:rsid w:val="00965117"/>
    <w:rsid w:val="00965440"/>
    <w:rsid w:val="0096547F"/>
    <w:rsid w:val="00965A29"/>
    <w:rsid w:val="00965EFC"/>
    <w:rsid w:val="0096608F"/>
    <w:rsid w:val="009667CF"/>
    <w:rsid w:val="00966935"/>
    <w:rsid w:val="00967E85"/>
    <w:rsid w:val="00970C7F"/>
    <w:rsid w:val="00971CC4"/>
    <w:rsid w:val="00972567"/>
    <w:rsid w:val="00973AC6"/>
    <w:rsid w:val="0097434A"/>
    <w:rsid w:val="0097436E"/>
    <w:rsid w:val="009745BD"/>
    <w:rsid w:val="00975BBF"/>
    <w:rsid w:val="009762D2"/>
    <w:rsid w:val="009762F1"/>
    <w:rsid w:val="00976439"/>
    <w:rsid w:val="00976824"/>
    <w:rsid w:val="0097692D"/>
    <w:rsid w:val="009776D2"/>
    <w:rsid w:val="00977EA8"/>
    <w:rsid w:val="0098131E"/>
    <w:rsid w:val="0098140D"/>
    <w:rsid w:val="00981CED"/>
    <w:rsid w:val="00981F9D"/>
    <w:rsid w:val="0098348D"/>
    <w:rsid w:val="00983524"/>
    <w:rsid w:val="009836F7"/>
    <w:rsid w:val="00983D99"/>
    <w:rsid w:val="0098496E"/>
    <w:rsid w:val="009868EA"/>
    <w:rsid w:val="00986933"/>
    <w:rsid w:val="00987225"/>
    <w:rsid w:val="009874D6"/>
    <w:rsid w:val="009875E3"/>
    <w:rsid w:val="00987A8C"/>
    <w:rsid w:val="00990870"/>
    <w:rsid w:val="00990DCF"/>
    <w:rsid w:val="009913A9"/>
    <w:rsid w:val="00991CDB"/>
    <w:rsid w:val="009920F5"/>
    <w:rsid w:val="00992B56"/>
    <w:rsid w:val="00992CDA"/>
    <w:rsid w:val="00993342"/>
    <w:rsid w:val="00993F3E"/>
    <w:rsid w:val="009941B1"/>
    <w:rsid w:val="00995A84"/>
    <w:rsid w:val="00996CE4"/>
    <w:rsid w:val="00997B58"/>
    <w:rsid w:val="009A0405"/>
    <w:rsid w:val="009A04B2"/>
    <w:rsid w:val="009A0B76"/>
    <w:rsid w:val="009A2DA2"/>
    <w:rsid w:val="009A3F36"/>
    <w:rsid w:val="009A46A0"/>
    <w:rsid w:val="009A48D8"/>
    <w:rsid w:val="009A6C59"/>
    <w:rsid w:val="009A6F41"/>
    <w:rsid w:val="009A7878"/>
    <w:rsid w:val="009B0888"/>
    <w:rsid w:val="009B0D11"/>
    <w:rsid w:val="009B174C"/>
    <w:rsid w:val="009B2052"/>
    <w:rsid w:val="009B3359"/>
    <w:rsid w:val="009B33DF"/>
    <w:rsid w:val="009B4165"/>
    <w:rsid w:val="009B4270"/>
    <w:rsid w:val="009B44CC"/>
    <w:rsid w:val="009B45B9"/>
    <w:rsid w:val="009B5651"/>
    <w:rsid w:val="009B5804"/>
    <w:rsid w:val="009B5F5C"/>
    <w:rsid w:val="009B62E4"/>
    <w:rsid w:val="009B6A83"/>
    <w:rsid w:val="009B7585"/>
    <w:rsid w:val="009B768D"/>
    <w:rsid w:val="009B7A70"/>
    <w:rsid w:val="009B7E51"/>
    <w:rsid w:val="009C0520"/>
    <w:rsid w:val="009C12E8"/>
    <w:rsid w:val="009C1A99"/>
    <w:rsid w:val="009C31D9"/>
    <w:rsid w:val="009C4319"/>
    <w:rsid w:val="009C4569"/>
    <w:rsid w:val="009C4619"/>
    <w:rsid w:val="009C60E6"/>
    <w:rsid w:val="009C6420"/>
    <w:rsid w:val="009C69A2"/>
    <w:rsid w:val="009D0EBE"/>
    <w:rsid w:val="009D109E"/>
    <w:rsid w:val="009D1CD9"/>
    <w:rsid w:val="009D1F28"/>
    <w:rsid w:val="009D2337"/>
    <w:rsid w:val="009D347D"/>
    <w:rsid w:val="009D4830"/>
    <w:rsid w:val="009D54E7"/>
    <w:rsid w:val="009D5538"/>
    <w:rsid w:val="009D592E"/>
    <w:rsid w:val="009D76F6"/>
    <w:rsid w:val="009D7976"/>
    <w:rsid w:val="009D797A"/>
    <w:rsid w:val="009D7992"/>
    <w:rsid w:val="009D7D78"/>
    <w:rsid w:val="009D7EED"/>
    <w:rsid w:val="009E026A"/>
    <w:rsid w:val="009E1A39"/>
    <w:rsid w:val="009E1C28"/>
    <w:rsid w:val="009E1DEE"/>
    <w:rsid w:val="009E30AC"/>
    <w:rsid w:val="009E37B7"/>
    <w:rsid w:val="009E3938"/>
    <w:rsid w:val="009E3B56"/>
    <w:rsid w:val="009E419D"/>
    <w:rsid w:val="009E49B5"/>
    <w:rsid w:val="009E4B76"/>
    <w:rsid w:val="009E551E"/>
    <w:rsid w:val="009E6462"/>
    <w:rsid w:val="009E7066"/>
    <w:rsid w:val="009F1EF8"/>
    <w:rsid w:val="009F20AA"/>
    <w:rsid w:val="009F2290"/>
    <w:rsid w:val="009F24A5"/>
    <w:rsid w:val="009F27C5"/>
    <w:rsid w:val="009F2B60"/>
    <w:rsid w:val="009F2DA1"/>
    <w:rsid w:val="009F4700"/>
    <w:rsid w:val="009F4B78"/>
    <w:rsid w:val="009F606B"/>
    <w:rsid w:val="009F73FE"/>
    <w:rsid w:val="00A0101C"/>
    <w:rsid w:val="00A017C4"/>
    <w:rsid w:val="00A02397"/>
    <w:rsid w:val="00A02A3E"/>
    <w:rsid w:val="00A02B0A"/>
    <w:rsid w:val="00A0398B"/>
    <w:rsid w:val="00A053F9"/>
    <w:rsid w:val="00A0552E"/>
    <w:rsid w:val="00A06630"/>
    <w:rsid w:val="00A06840"/>
    <w:rsid w:val="00A06EAD"/>
    <w:rsid w:val="00A07550"/>
    <w:rsid w:val="00A1293C"/>
    <w:rsid w:val="00A12A64"/>
    <w:rsid w:val="00A12EC3"/>
    <w:rsid w:val="00A131BF"/>
    <w:rsid w:val="00A14B95"/>
    <w:rsid w:val="00A14F9B"/>
    <w:rsid w:val="00A14FAD"/>
    <w:rsid w:val="00A15D4A"/>
    <w:rsid w:val="00A167CB"/>
    <w:rsid w:val="00A167F1"/>
    <w:rsid w:val="00A16B0B"/>
    <w:rsid w:val="00A16C5F"/>
    <w:rsid w:val="00A20EC0"/>
    <w:rsid w:val="00A2150B"/>
    <w:rsid w:val="00A21531"/>
    <w:rsid w:val="00A215D9"/>
    <w:rsid w:val="00A2190E"/>
    <w:rsid w:val="00A2244B"/>
    <w:rsid w:val="00A2292C"/>
    <w:rsid w:val="00A23FC3"/>
    <w:rsid w:val="00A25817"/>
    <w:rsid w:val="00A25E3B"/>
    <w:rsid w:val="00A2677C"/>
    <w:rsid w:val="00A26850"/>
    <w:rsid w:val="00A26CB7"/>
    <w:rsid w:val="00A2730C"/>
    <w:rsid w:val="00A27CE6"/>
    <w:rsid w:val="00A3019B"/>
    <w:rsid w:val="00A30CDD"/>
    <w:rsid w:val="00A30EA8"/>
    <w:rsid w:val="00A3106E"/>
    <w:rsid w:val="00A3288D"/>
    <w:rsid w:val="00A329DC"/>
    <w:rsid w:val="00A3311C"/>
    <w:rsid w:val="00A346C0"/>
    <w:rsid w:val="00A34D0A"/>
    <w:rsid w:val="00A35220"/>
    <w:rsid w:val="00A36253"/>
    <w:rsid w:val="00A36255"/>
    <w:rsid w:val="00A37C82"/>
    <w:rsid w:val="00A401B2"/>
    <w:rsid w:val="00A40839"/>
    <w:rsid w:val="00A41135"/>
    <w:rsid w:val="00A41FEB"/>
    <w:rsid w:val="00A4348C"/>
    <w:rsid w:val="00A43781"/>
    <w:rsid w:val="00A44DA6"/>
    <w:rsid w:val="00A44F82"/>
    <w:rsid w:val="00A46D8E"/>
    <w:rsid w:val="00A4747B"/>
    <w:rsid w:val="00A478C6"/>
    <w:rsid w:val="00A47C2B"/>
    <w:rsid w:val="00A50921"/>
    <w:rsid w:val="00A5160D"/>
    <w:rsid w:val="00A53021"/>
    <w:rsid w:val="00A535AE"/>
    <w:rsid w:val="00A54EDC"/>
    <w:rsid w:val="00A5545C"/>
    <w:rsid w:val="00A55AFA"/>
    <w:rsid w:val="00A55EBF"/>
    <w:rsid w:val="00A55F38"/>
    <w:rsid w:val="00A5635D"/>
    <w:rsid w:val="00A56AFE"/>
    <w:rsid w:val="00A56CA4"/>
    <w:rsid w:val="00A56FD5"/>
    <w:rsid w:val="00A57836"/>
    <w:rsid w:val="00A5793D"/>
    <w:rsid w:val="00A609C0"/>
    <w:rsid w:val="00A60C06"/>
    <w:rsid w:val="00A610E8"/>
    <w:rsid w:val="00A611E9"/>
    <w:rsid w:val="00A62837"/>
    <w:rsid w:val="00A63D90"/>
    <w:rsid w:val="00A63DDD"/>
    <w:rsid w:val="00A64589"/>
    <w:rsid w:val="00A64834"/>
    <w:rsid w:val="00A64841"/>
    <w:rsid w:val="00A64EE7"/>
    <w:rsid w:val="00A6569E"/>
    <w:rsid w:val="00A65D80"/>
    <w:rsid w:val="00A65F04"/>
    <w:rsid w:val="00A65F2E"/>
    <w:rsid w:val="00A6752D"/>
    <w:rsid w:val="00A678B2"/>
    <w:rsid w:val="00A67C13"/>
    <w:rsid w:val="00A71013"/>
    <w:rsid w:val="00A7195A"/>
    <w:rsid w:val="00A71AD5"/>
    <w:rsid w:val="00A71BBF"/>
    <w:rsid w:val="00A7251D"/>
    <w:rsid w:val="00A72EB3"/>
    <w:rsid w:val="00A74182"/>
    <w:rsid w:val="00A7469F"/>
    <w:rsid w:val="00A74F52"/>
    <w:rsid w:val="00A75258"/>
    <w:rsid w:val="00A769E6"/>
    <w:rsid w:val="00A76BEA"/>
    <w:rsid w:val="00A76D6F"/>
    <w:rsid w:val="00A77B43"/>
    <w:rsid w:val="00A8073E"/>
    <w:rsid w:val="00A80883"/>
    <w:rsid w:val="00A81394"/>
    <w:rsid w:val="00A81435"/>
    <w:rsid w:val="00A81BED"/>
    <w:rsid w:val="00A81EA2"/>
    <w:rsid w:val="00A82FC6"/>
    <w:rsid w:val="00A83563"/>
    <w:rsid w:val="00A8446E"/>
    <w:rsid w:val="00A84563"/>
    <w:rsid w:val="00A84EE1"/>
    <w:rsid w:val="00A85887"/>
    <w:rsid w:val="00A85955"/>
    <w:rsid w:val="00A85FB5"/>
    <w:rsid w:val="00A86141"/>
    <w:rsid w:val="00A8667D"/>
    <w:rsid w:val="00A868BF"/>
    <w:rsid w:val="00A8787E"/>
    <w:rsid w:val="00A87A11"/>
    <w:rsid w:val="00A87BFD"/>
    <w:rsid w:val="00A87E59"/>
    <w:rsid w:val="00A9042A"/>
    <w:rsid w:val="00A907BB"/>
    <w:rsid w:val="00A909E2"/>
    <w:rsid w:val="00A90A4D"/>
    <w:rsid w:val="00A90B3B"/>
    <w:rsid w:val="00A90B52"/>
    <w:rsid w:val="00A90F11"/>
    <w:rsid w:val="00A910EF"/>
    <w:rsid w:val="00A91AD7"/>
    <w:rsid w:val="00A92113"/>
    <w:rsid w:val="00A92270"/>
    <w:rsid w:val="00A9356F"/>
    <w:rsid w:val="00A936EF"/>
    <w:rsid w:val="00A93F3A"/>
    <w:rsid w:val="00A94B65"/>
    <w:rsid w:val="00A96C3E"/>
    <w:rsid w:val="00A976E3"/>
    <w:rsid w:val="00AA0375"/>
    <w:rsid w:val="00AA079B"/>
    <w:rsid w:val="00AA0814"/>
    <w:rsid w:val="00AA0F7F"/>
    <w:rsid w:val="00AA10AE"/>
    <w:rsid w:val="00AA198E"/>
    <w:rsid w:val="00AA25C1"/>
    <w:rsid w:val="00AA329F"/>
    <w:rsid w:val="00AA4B22"/>
    <w:rsid w:val="00AA4BBD"/>
    <w:rsid w:val="00AA4FB6"/>
    <w:rsid w:val="00AA686F"/>
    <w:rsid w:val="00AA7B6A"/>
    <w:rsid w:val="00AB17DE"/>
    <w:rsid w:val="00AB1B1F"/>
    <w:rsid w:val="00AB1E50"/>
    <w:rsid w:val="00AB265D"/>
    <w:rsid w:val="00AB2A8B"/>
    <w:rsid w:val="00AB3044"/>
    <w:rsid w:val="00AB5034"/>
    <w:rsid w:val="00AB593E"/>
    <w:rsid w:val="00AB5D37"/>
    <w:rsid w:val="00AB61FA"/>
    <w:rsid w:val="00AB6A55"/>
    <w:rsid w:val="00AB6A5F"/>
    <w:rsid w:val="00AB7495"/>
    <w:rsid w:val="00AB7BFD"/>
    <w:rsid w:val="00AC0BA2"/>
    <w:rsid w:val="00AC0C28"/>
    <w:rsid w:val="00AC0EAE"/>
    <w:rsid w:val="00AC1F85"/>
    <w:rsid w:val="00AC2955"/>
    <w:rsid w:val="00AC2B7E"/>
    <w:rsid w:val="00AC4A2E"/>
    <w:rsid w:val="00AC4C5C"/>
    <w:rsid w:val="00AC548A"/>
    <w:rsid w:val="00AC55AC"/>
    <w:rsid w:val="00AC5F5A"/>
    <w:rsid w:val="00AC78F2"/>
    <w:rsid w:val="00AD0A25"/>
    <w:rsid w:val="00AD0C3C"/>
    <w:rsid w:val="00AD0D53"/>
    <w:rsid w:val="00AD1885"/>
    <w:rsid w:val="00AD30E1"/>
    <w:rsid w:val="00AD4D76"/>
    <w:rsid w:val="00AD50BA"/>
    <w:rsid w:val="00AD58A0"/>
    <w:rsid w:val="00AD7FC6"/>
    <w:rsid w:val="00AE02E7"/>
    <w:rsid w:val="00AE0C68"/>
    <w:rsid w:val="00AE0F75"/>
    <w:rsid w:val="00AE1187"/>
    <w:rsid w:val="00AE1B88"/>
    <w:rsid w:val="00AE1BE2"/>
    <w:rsid w:val="00AE319E"/>
    <w:rsid w:val="00AE38A1"/>
    <w:rsid w:val="00AE3A55"/>
    <w:rsid w:val="00AE3B19"/>
    <w:rsid w:val="00AE3B2C"/>
    <w:rsid w:val="00AE3B4E"/>
    <w:rsid w:val="00AE3EBC"/>
    <w:rsid w:val="00AE57A8"/>
    <w:rsid w:val="00AE5E13"/>
    <w:rsid w:val="00AE5F78"/>
    <w:rsid w:val="00AE676F"/>
    <w:rsid w:val="00AE6D3A"/>
    <w:rsid w:val="00AE6E9A"/>
    <w:rsid w:val="00AE709C"/>
    <w:rsid w:val="00AE7209"/>
    <w:rsid w:val="00AE7DD9"/>
    <w:rsid w:val="00AF02E3"/>
    <w:rsid w:val="00AF2B38"/>
    <w:rsid w:val="00AF3D56"/>
    <w:rsid w:val="00AF416E"/>
    <w:rsid w:val="00AF4864"/>
    <w:rsid w:val="00AF5E45"/>
    <w:rsid w:val="00AF6128"/>
    <w:rsid w:val="00AF619B"/>
    <w:rsid w:val="00AF7E49"/>
    <w:rsid w:val="00B0003A"/>
    <w:rsid w:val="00B004C1"/>
    <w:rsid w:val="00B00AF2"/>
    <w:rsid w:val="00B00C3A"/>
    <w:rsid w:val="00B01273"/>
    <w:rsid w:val="00B0168B"/>
    <w:rsid w:val="00B016C7"/>
    <w:rsid w:val="00B02386"/>
    <w:rsid w:val="00B02D7A"/>
    <w:rsid w:val="00B03368"/>
    <w:rsid w:val="00B03458"/>
    <w:rsid w:val="00B0397D"/>
    <w:rsid w:val="00B04B8E"/>
    <w:rsid w:val="00B05585"/>
    <w:rsid w:val="00B06626"/>
    <w:rsid w:val="00B07167"/>
    <w:rsid w:val="00B076AE"/>
    <w:rsid w:val="00B07C79"/>
    <w:rsid w:val="00B1072F"/>
    <w:rsid w:val="00B10EE5"/>
    <w:rsid w:val="00B10F7F"/>
    <w:rsid w:val="00B113CB"/>
    <w:rsid w:val="00B13C24"/>
    <w:rsid w:val="00B15820"/>
    <w:rsid w:val="00B15D71"/>
    <w:rsid w:val="00B1680D"/>
    <w:rsid w:val="00B200D2"/>
    <w:rsid w:val="00B21229"/>
    <w:rsid w:val="00B214DC"/>
    <w:rsid w:val="00B215D8"/>
    <w:rsid w:val="00B2218A"/>
    <w:rsid w:val="00B22E3D"/>
    <w:rsid w:val="00B246ED"/>
    <w:rsid w:val="00B2508C"/>
    <w:rsid w:val="00B26579"/>
    <w:rsid w:val="00B26C2E"/>
    <w:rsid w:val="00B26DD0"/>
    <w:rsid w:val="00B274AF"/>
    <w:rsid w:val="00B27623"/>
    <w:rsid w:val="00B27A7F"/>
    <w:rsid w:val="00B30149"/>
    <w:rsid w:val="00B30C9A"/>
    <w:rsid w:val="00B30F66"/>
    <w:rsid w:val="00B33277"/>
    <w:rsid w:val="00B3342A"/>
    <w:rsid w:val="00B338C8"/>
    <w:rsid w:val="00B33D9A"/>
    <w:rsid w:val="00B341CC"/>
    <w:rsid w:val="00B34952"/>
    <w:rsid w:val="00B35100"/>
    <w:rsid w:val="00B35321"/>
    <w:rsid w:val="00B35505"/>
    <w:rsid w:val="00B35CB3"/>
    <w:rsid w:val="00B35E0A"/>
    <w:rsid w:val="00B3608B"/>
    <w:rsid w:val="00B3666C"/>
    <w:rsid w:val="00B369A4"/>
    <w:rsid w:val="00B36CD2"/>
    <w:rsid w:val="00B36FC1"/>
    <w:rsid w:val="00B37E96"/>
    <w:rsid w:val="00B4000E"/>
    <w:rsid w:val="00B40124"/>
    <w:rsid w:val="00B40949"/>
    <w:rsid w:val="00B40B86"/>
    <w:rsid w:val="00B40D95"/>
    <w:rsid w:val="00B42C79"/>
    <w:rsid w:val="00B42E03"/>
    <w:rsid w:val="00B4315E"/>
    <w:rsid w:val="00B43446"/>
    <w:rsid w:val="00B43773"/>
    <w:rsid w:val="00B43832"/>
    <w:rsid w:val="00B443E2"/>
    <w:rsid w:val="00B45655"/>
    <w:rsid w:val="00B45A33"/>
    <w:rsid w:val="00B46222"/>
    <w:rsid w:val="00B4683D"/>
    <w:rsid w:val="00B50032"/>
    <w:rsid w:val="00B50200"/>
    <w:rsid w:val="00B50469"/>
    <w:rsid w:val="00B52251"/>
    <w:rsid w:val="00B530F0"/>
    <w:rsid w:val="00B53242"/>
    <w:rsid w:val="00B54092"/>
    <w:rsid w:val="00B5444C"/>
    <w:rsid w:val="00B5454B"/>
    <w:rsid w:val="00B54633"/>
    <w:rsid w:val="00B54E54"/>
    <w:rsid w:val="00B55185"/>
    <w:rsid w:val="00B5568B"/>
    <w:rsid w:val="00B557BF"/>
    <w:rsid w:val="00B56147"/>
    <w:rsid w:val="00B56567"/>
    <w:rsid w:val="00B5720A"/>
    <w:rsid w:val="00B57D1B"/>
    <w:rsid w:val="00B604A0"/>
    <w:rsid w:val="00B6075B"/>
    <w:rsid w:val="00B60761"/>
    <w:rsid w:val="00B620A5"/>
    <w:rsid w:val="00B62753"/>
    <w:rsid w:val="00B62BB1"/>
    <w:rsid w:val="00B63450"/>
    <w:rsid w:val="00B63559"/>
    <w:rsid w:val="00B63ACB"/>
    <w:rsid w:val="00B63E9F"/>
    <w:rsid w:val="00B64716"/>
    <w:rsid w:val="00B64E4C"/>
    <w:rsid w:val="00B651F2"/>
    <w:rsid w:val="00B67883"/>
    <w:rsid w:val="00B705B4"/>
    <w:rsid w:val="00B70F9E"/>
    <w:rsid w:val="00B718B5"/>
    <w:rsid w:val="00B71C68"/>
    <w:rsid w:val="00B7334F"/>
    <w:rsid w:val="00B73979"/>
    <w:rsid w:val="00B73B7C"/>
    <w:rsid w:val="00B74141"/>
    <w:rsid w:val="00B751B0"/>
    <w:rsid w:val="00B7527B"/>
    <w:rsid w:val="00B75364"/>
    <w:rsid w:val="00B75AA4"/>
    <w:rsid w:val="00B762E0"/>
    <w:rsid w:val="00B766DB"/>
    <w:rsid w:val="00B770E6"/>
    <w:rsid w:val="00B80D06"/>
    <w:rsid w:val="00B814F3"/>
    <w:rsid w:val="00B837D3"/>
    <w:rsid w:val="00B8494E"/>
    <w:rsid w:val="00B86C54"/>
    <w:rsid w:val="00B874C4"/>
    <w:rsid w:val="00B877C7"/>
    <w:rsid w:val="00B87A48"/>
    <w:rsid w:val="00B90ED2"/>
    <w:rsid w:val="00B9147C"/>
    <w:rsid w:val="00B91FEA"/>
    <w:rsid w:val="00B92525"/>
    <w:rsid w:val="00B926F2"/>
    <w:rsid w:val="00B92AD4"/>
    <w:rsid w:val="00B93E13"/>
    <w:rsid w:val="00B95E03"/>
    <w:rsid w:val="00B96005"/>
    <w:rsid w:val="00B96385"/>
    <w:rsid w:val="00B966ED"/>
    <w:rsid w:val="00B97655"/>
    <w:rsid w:val="00B9791E"/>
    <w:rsid w:val="00B97AA2"/>
    <w:rsid w:val="00B97B8E"/>
    <w:rsid w:val="00BA00A8"/>
    <w:rsid w:val="00BA1CE4"/>
    <w:rsid w:val="00BA2EC4"/>
    <w:rsid w:val="00BA2F73"/>
    <w:rsid w:val="00BA2F79"/>
    <w:rsid w:val="00BA37A4"/>
    <w:rsid w:val="00BA3CB0"/>
    <w:rsid w:val="00BA4FB0"/>
    <w:rsid w:val="00BA569D"/>
    <w:rsid w:val="00BA5E42"/>
    <w:rsid w:val="00BA6049"/>
    <w:rsid w:val="00BA6138"/>
    <w:rsid w:val="00BA6BA5"/>
    <w:rsid w:val="00BA76B7"/>
    <w:rsid w:val="00BB113B"/>
    <w:rsid w:val="00BB1930"/>
    <w:rsid w:val="00BB3478"/>
    <w:rsid w:val="00BB3607"/>
    <w:rsid w:val="00BB4065"/>
    <w:rsid w:val="00BB4438"/>
    <w:rsid w:val="00BB44B1"/>
    <w:rsid w:val="00BB60A0"/>
    <w:rsid w:val="00BB7FC1"/>
    <w:rsid w:val="00BC13FA"/>
    <w:rsid w:val="00BC1C44"/>
    <w:rsid w:val="00BC2247"/>
    <w:rsid w:val="00BC29D2"/>
    <w:rsid w:val="00BC2D78"/>
    <w:rsid w:val="00BC4EF8"/>
    <w:rsid w:val="00BC4F0B"/>
    <w:rsid w:val="00BC5572"/>
    <w:rsid w:val="00BC5CE6"/>
    <w:rsid w:val="00BC5E44"/>
    <w:rsid w:val="00BC6EDF"/>
    <w:rsid w:val="00BD061F"/>
    <w:rsid w:val="00BD0C01"/>
    <w:rsid w:val="00BD1042"/>
    <w:rsid w:val="00BD2A29"/>
    <w:rsid w:val="00BD3110"/>
    <w:rsid w:val="00BD31DF"/>
    <w:rsid w:val="00BD3C75"/>
    <w:rsid w:val="00BD3FDD"/>
    <w:rsid w:val="00BD497C"/>
    <w:rsid w:val="00BD57EE"/>
    <w:rsid w:val="00BD5835"/>
    <w:rsid w:val="00BD77C2"/>
    <w:rsid w:val="00BE03D4"/>
    <w:rsid w:val="00BE110B"/>
    <w:rsid w:val="00BE1357"/>
    <w:rsid w:val="00BE1FA1"/>
    <w:rsid w:val="00BE232D"/>
    <w:rsid w:val="00BE3859"/>
    <w:rsid w:val="00BE3B9F"/>
    <w:rsid w:val="00BE4D53"/>
    <w:rsid w:val="00BE4E8A"/>
    <w:rsid w:val="00BE6972"/>
    <w:rsid w:val="00BE6E82"/>
    <w:rsid w:val="00BE7434"/>
    <w:rsid w:val="00BF023A"/>
    <w:rsid w:val="00BF15D9"/>
    <w:rsid w:val="00BF1794"/>
    <w:rsid w:val="00BF183B"/>
    <w:rsid w:val="00BF1C52"/>
    <w:rsid w:val="00BF2A79"/>
    <w:rsid w:val="00BF375F"/>
    <w:rsid w:val="00BF4195"/>
    <w:rsid w:val="00BF6C52"/>
    <w:rsid w:val="00C00243"/>
    <w:rsid w:val="00C01C73"/>
    <w:rsid w:val="00C01E46"/>
    <w:rsid w:val="00C01E6C"/>
    <w:rsid w:val="00C02372"/>
    <w:rsid w:val="00C02C93"/>
    <w:rsid w:val="00C040F1"/>
    <w:rsid w:val="00C043B6"/>
    <w:rsid w:val="00C044C3"/>
    <w:rsid w:val="00C05235"/>
    <w:rsid w:val="00C05ADA"/>
    <w:rsid w:val="00C060BD"/>
    <w:rsid w:val="00C068F6"/>
    <w:rsid w:val="00C06A2A"/>
    <w:rsid w:val="00C06F43"/>
    <w:rsid w:val="00C07805"/>
    <w:rsid w:val="00C07921"/>
    <w:rsid w:val="00C10453"/>
    <w:rsid w:val="00C10849"/>
    <w:rsid w:val="00C10BA6"/>
    <w:rsid w:val="00C10FD5"/>
    <w:rsid w:val="00C112DD"/>
    <w:rsid w:val="00C116A5"/>
    <w:rsid w:val="00C11727"/>
    <w:rsid w:val="00C12071"/>
    <w:rsid w:val="00C123F0"/>
    <w:rsid w:val="00C12DC2"/>
    <w:rsid w:val="00C13BCA"/>
    <w:rsid w:val="00C141B9"/>
    <w:rsid w:val="00C143CF"/>
    <w:rsid w:val="00C1462D"/>
    <w:rsid w:val="00C146C3"/>
    <w:rsid w:val="00C156C1"/>
    <w:rsid w:val="00C158CF"/>
    <w:rsid w:val="00C16344"/>
    <w:rsid w:val="00C1649A"/>
    <w:rsid w:val="00C16518"/>
    <w:rsid w:val="00C16788"/>
    <w:rsid w:val="00C16C24"/>
    <w:rsid w:val="00C16DB5"/>
    <w:rsid w:val="00C1787D"/>
    <w:rsid w:val="00C202EB"/>
    <w:rsid w:val="00C203C0"/>
    <w:rsid w:val="00C20A52"/>
    <w:rsid w:val="00C20F14"/>
    <w:rsid w:val="00C210A9"/>
    <w:rsid w:val="00C21DF6"/>
    <w:rsid w:val="00C22B7C"/>
    <w:rsid w:val="00C23D18"/>
    <w:rsid w:val="00C24AFF"/>
    <w:rsid w:val="00C2521A"/>
    <w:rsid w:val="00C25A7D"/>
    <w:rsid w:val="00C261E0"/>
    <w:rsid w:val="00C262E6"/>
    <w:rsid w:val="00C263EB"/>
    <w:rsid w:val="00C26595"/>
    <w:rsid w:val="00C266E5"/>
    <w:rsid w:val="00C31399"/>
    <w:rsid w:val="00C3184D"/>
    <w:rsid w:val="00C321AE"/>
    <w:rsid w:val="00C32608"/>
    <w:rsid w:val="00C3296B"/>
    <w:rsid w:val="00C32D40"/>
    <w:rsid w:val="00C32E3B"/>
    <w:rsid w:val="00C331FD"/>
    <w:rsid w:val="00C33CC8"/>
    <w:rsid w:val="00C34DCB"/>
    <w:rsid w:val="00C36D0C"/>
    <w:rsid w:val="00C36D10"/>
    <w:rsid w:val="00C3708D"/>
    <w:rsid w:val="00C40FC0"/>
    <w:rsid w:val="00C4116A"/>
    <w:rsid w:val="00C4138A"/>
    <w:rsid w:val="00C42C37"/>
    <w:rsid w:val="00C431F7"/>
    <w:rsid w:val="00C440B4"/>
    <w:rsid w:val="00C446F9"/>
    <w:rsid w:val="00C44929"/>
    <w:rsid w:val="00C44BEF"/>
    <w:rsid w:val="00C44E7A"/>
    <w:rsid w:val="00C451CE"/>
    <w:rsid w:val="00C462CB"/>
    <w:rsid w:val="00C46609"/>
    <w:rsid w:val="00C46BD7"/>
    <w:rsid w:val="00C46F39"/>
    <w:rsid w:val="00C47244"/>
    <w:rsid w:val="00C47AFE"/>
    <w:rsid w:val="00C5067F"/>
    <w:rsid w:val="00C50DC4"/>
    <w:rsid w:val="00C515C3"/>
    <w:rsid w:val="00C51AA2"/>
    <w:rsid w:val="00C51DB5"/>
    <w:rsid w:val="00C52E43"/>
    <w:rsid w:val="00C53B13"/>
    <w:rsid w:val="00C548AE"/>
    <w:rsid w:val="00C556C7"/>
    <w:rsid w:val="00C55C67"/>
    <w:rsid w:val="00C56BC4"/>
    <w:rsid w:val="00C57331"/>
    <w:rsid w:val="00C57A67"/>
    <w:rsid w:val="00C609C3"/>
    <w:rsid w:val="00C60E16"/>
    <w:rsid w:val="00C61744"/>
    <w:rsid w:val="00C62573"/>
    <w:rsid w:val="00C63331"/>
    <w:rsid w:val="00C63AEC"/>
    <w:rsid w:val="00C63CD9"/>
    <w:rsid w:val="00C65E4E"/>
    <w:rsid w:val="00C66610"/>
    <w:rsid w:val="00C66648"/>
    <w:rsid w:val="00C66B39"/>
    <w:rsid w:val="00C66FEF"/>
    <w:rsid w:val="00C67305"/>
    <w:rsid w:val="00C679FD"/>
    <w:rsid w:val="00C70CB4"/>
    <w:rsid w:val="00C721A4"/>
    <w:rsid w:val="00C72540"/>
    <w:rsid w:val="00C728D5"/>
    <w:rsid w:val="00C737B6"/>
    <w:rsid w:val="00C75119"/>
    <w:rsid w:val="00C765B6"/>
    <w:rsid w:val="00C76DD6"/>
    <w:rsid w:val="00C7771E"/>
    <w:rsid w:val="00C77CD0"/>
    <w:rsid w:val="00C77DE2"/>
    <w:rsid w:val="00C80CDB"/>
    <w:rsid w:val="00C81F71"/>
    <w:rsid w:val="00C823D2"/>
    <w:rsid w:val="00C838AE"/>
    <w:rsid w:val="00C83EE7"/>
    <w:rsid w:val="00C8426A"/>
    <w:rsid w:val="00C855EC"/>
    <w:rsid w:val="00C86326"/>
    <w:rsid w:val="00C87A76"/>
    <w:rsid w:val="00C90289"/>
    <w:rsid w:val="00C90B62"/>
    <w:rsid w:val="00C91C08"/>
    <w:rsid w:val="00C91F41"/>
    <w:rsid w:val="00C920CF"/>
    <w:rsid w:val="00C9303D"/>
    <w:rsid w:val="00C93EAE"/>
    <w:rsid w:val="00C94830"/>
    <w:rsid w:val="00C950B9"/>
    <w:rsid w:val="00C9581E"/>
    <w:rsid w:val="00C978B6"/>
    <w:rsid w:val="00C97A24"/>
    <w:rsid w:val="00C97F0E"/>
    <w:rsid w:val="00CA06AC"/>
    <w:rsid w:val="00CA0872"/>
    <w:rsid w:val="00CA0FEE"/>
    <w:rsid w:val="00CA117A"/>
    <w:rsid w:val="00CA12CE"/>
    <w:rsid w:val="00CA1AEE"/>
    <w:rsid w:val="00CA1D9E"/>
    <w:rsid w:val="00CA242A"/>
    <w:rsid w:val="00CA27BD"/>
    <w:rsid w:val="00CA2A98"/>
    <w:rsid w:val="00CA2AB6"/>
    <w:rsid w:val="00CA32B5"/>
    <w:rsid w:val="00CA38B2"/>
    <w:rsid w:val="00CA4BCC"/>
    <w:rsid w:val="00CA5C5F"/>
    <w:rsid w:val="00CA6BF7"/>
    <w:rsid w:val="00CA6CEB"/>
    <w:rsid w:val="00CA7BF7"/>
    <w:rsid w:val="00CB01D6"/>
    <w:rsid w:val="00CB03EC"/>
    <w:rsid w:val="00CB07E5"/>
    <w:rsid w:val="00CB0F14"/>
    <w:rsid w:val="00CB18FB"/>
    <w:rsid w:val="00CB2B37"/>
    <w:rsid w:val="00CB311E"/>
    <w:rsid w:val="00CB351D"/>
    <w:rsid w:val="00CB519F"/>
    <w:rsid w:val="00CB6FEA"/>
    <w:rsid w:val="00CB71E1"/>
    <w:rsid w:val="00CC043B"/>
    <w:rsid w:val="00CC0996"/>
    <w:rsid w:val="00CC0ED3"/>
    <w:rsid w:val="00CC1894"/>
    <w:rsid w:val="00CC1CAA"/>
    <w:rsid w:val="00CC2A23"/>
    <w:rsid w:val="00CC2C3D"/>
    <w:rsid w:val="00CC2EE2"/>
    <w:rsid w:val="00CC35D6"/>
    <w:rsid w:val="00CC365D"/>
    <w:rsid w:val="00CC3D03"/>
    <w:rsid w:val="00CC428E"/>
    <w:rsid w:val="00CC45DB"/>
    <w:rsid w:val="00CC5A03"/>
    <w:rsid w:val="00CC6C73"/>
    <w:rsid w:val="00CC73FF"/>
    <w:rsid w:val="00CD032A"/>
    <w:rsid w:val="00CD0918"/>
    <w:rsid w:val="00CD0AAF"/>
    <w:rsid w:val="00CD141E"/>
    <w:rsid w:val="00CD2836"/>
    <w:rsid w:val="00CD45DA"/>
    <w:rsid w:val="00CD49B3"/>
    <w:rsid w:val="00CD5C1C"/>
    <w:rsid w:val="00CD6951"/>
    <w:rsid w:val="00CE0626"/>
    <w:rsid w:val="00CE07E7"/>
    <w:rsid w:val="00CE0901"/>
    <w:rsid w:val="00CE141F"/>
    <w:rsid w:val="00CE1C70"/>
    <w:rsid w:val="00CE25E8"/>
    <w:rsid w:val="00CE267B"/>
    <w:rsid w:val="00CE2EA4"/>
    <w:rsid w:val="00CE3D62"/>
    <w:rsid w:val="00CE3E2E"/>
    <w:rsid w:val="00CE4DE1"/>
    <w:rsid w:val="00CE53B1"/>
    <w:rsid w:val="00CE5606"/>
    <w:rsid w:val="00CE5714"/>
    <w:rsid w:val="00CE6138"/>
    <w:rsid w:val="00CE6F59"/>
    <w:rsid w:val="00CE780A"/>
    <w:rsid w:val="00CE7AAB"/>
    <w:rsid w:val="00CE7C37"/>
    <w:rsid w:val="00CF018F"/>
    <w:rsid w:val="00CF03E1"/>
    <w:rsid w:val="00CF044C"/>
    <w:rsid w:val="00CF1B9B"/>
    <w:rsid w:val="00CF2673"/>
    <w:rsid w:val="00CF291E"/>
    <w:rsid w:val="00CF2DA1"/>
    <w:rsid w:val="00CF2E62"/>
    <w:rsid w:val="00CF3542"/>
    <w:rsid w:val="00CF43B1"/>
    <w:rsid w:val="00CF4621"/>
    <w:rsid w:val="00CF472B"/>
    <w:rsid w:val="00CF4881"/>
    <w:rsid w:val="00CF5BDA"/>
    <w:rsid w:val="00D0027B"/>
    <w:rsid w:val="00D0182E"/>
    <w:rsid w:val="00D019A7"/>
    <w:rsid w:val="00D01C9B"/>
    <w:rsid w:val="00D049E0"/>
    <w:rsid w:val="00D06AD1"/>
    <w:rsid w:val="00D10872"/>
    <w:rsid w:val="00D1130C"/>
    <w:rsid w:val="00D118C9"/>
    <w:rsid w:val="00D11B84"/>
    <w:rsid w:val="00D12D72"/>
    <w:rsid w:val="00D137F4"/>
    <w:rsid w:val="00D13C0A"/>
    <w:rsid w:val="00D150BF"/>
    <w:rsid w:val="00D15941"/>
    <w:rsid w:val="00D17098"/>
    <w:rsid w:val="00D17549"/>
    <w:rsid w:val="00D1780D"/>
    <w:rsid w:val="00D178C7"/>
    <w:rsid w:val="00D2009A"/>
    <w:rsid w:val="00D21E42"/>
    <w:rsid w:val="00D23B21"/>
    <w:rsid w:val="00D245DF"/>
    <w:rsid w:val="00D24796"/>
    <w:rsid w:val="00D24D97"/>
    <w:rsid w:val="00D24EA9"/>
    <w:rsid w:val="00D254D9"/>
    <w:rsid w:val="00D25E48"/>
    <w:rsid w:val="00D266BC"/>
    <w:rsid w:val="00D275F5"/>
    <w:rsid w:val="00D27E86"/>
    <w:rsid w:val="00D3051B"/>
    <w:rsid w:val="00D3067D"/>
    <w:rsid w:val="00D31510"/>
    <w:rsid w:val="00D32162"/>
    <w:rsid w:val="00D33277"/>
    <w:rsid w:val="00D3351C"/>
    <w:rsid w:val="00D33799"/>
    <w:rsid w:val="00D35392"/>
    <w:rsid w:val="00D355E6"/>
    <w:rsid w:val="00D36322"/>
    <w:rsid w:val="00D367EF"/>
    <w:rsid w:val="00D36E48"/>
    <w:rsid w:val="00D376F1"/>
    <w:rsid w:val="00D37F75"/>
    <w:rsid w:val="00D403AF"/>
    <w:rsid w:val="00D40A1A"/>
    <w:rsid w:val="00D41B93"/>
    <w:rsid w:val="00D41F35"/>
    <w:rsid w:val="00D4291D"/>
    <w:rsid w:val="00D4344A"/>
    <w:rsid w:val="00D43CA8"/>
    <w:rsid w:val="00D4523D"/>
    <w:rsid w:val="00D45310"/>
    <w:rsid w:val="00D4593F"/>
    <w:rsid w:val="00D45BD4"/>
    <w:rsid w:val="00D4681F"/>
    <w:rsid w:val="00D4775B"/>
    <w:rsid w:val="00D47A13"/>
    <w:rsid w:val="00D47AB8"/>
    <w:rsid w:val="00D47F3A"/>
    <w:rsid w:val="00D51A95"/>
    <w:rsid w:val="00D52041"/>
    <w:rsid w:val="00D52115"/>
    <w:rsid w:val="00D52C56"/>
    <w:rsid w:val="00D534CE"/>
    <w:rsid w:val="00D54C04"/>
    <w:rsid w:val="00D55877"/>
    <w:rsid w:val="00D55AEE"/>
    <w:rsid w:val="00D55D94"/>
    <w:rsid w:val="00D55F2C"/>
    <w:rsid w:val="00D5649C"/>
    <w:rsid w:val="00D56566"/>
    <w:rsid w:val="00D56A32"/>
    <w:rsid w:val="00D56D41"/>
    <w:rsid w:val="00D56F53"/>
    <w:rsid w:val="00D56FC9"/>
    <w:rsid w:val="00D577C8"/>
    <w:rsid w:val="00D613CB"/>
    <w:rsid w:val="00D61430"/>
    <w:rsid w:val="00D64367"/>
    <w:rsid w:val="00D64741"/>
    <w:rsid w:val="00D647A4"/>
    <w:rsid w:val="00D6487A"/>
    <w:rsid w:val="00D64E04"/>
    <w:rsid w:val="00D6548A"/>
    <w:rsid w:val="00D65A5E"/>
    <w:rsid w:val="00D6643E"/>
    <w:rsid w:val="00D669D1"/>
    <w:rsid w:val="00D67B71"/>
    <w:rsid w:val="00D67CE1"/>
    <w:rsid w:val="00D7049A"/>
    <w:rsid w:val="00D704F6"/>
    <w:rsid w:val="00D71DBC"/>
    <w:rsid w:val="00D722B1"/>
    <w:rsid w:val="00D726D7"/>
    <w:rsid w:val="00D7287B"/>
    <w:rsid w:val="00D735BF"/>
    <w:rsid w:val="00D74361"/>
    <w:rsid w:val="00D74A82"/>
    <w:rsid w:val="00D753F6"/>
    <w:rsid w:val="00D758C2"/>
    <w:rsid w:val="00D759FC"/>
    <w:rsid w:val="00D7737D"/>
    <w:rsid w:val="00D778DC"/>
    <w:rsid w:val="00D80897"/>
    <w:rsid w:val="00D80EE7"/>
    <w:rsid w:val="00D81375"/>
    <w:rsid w:val="00D81D82"/>
    <w:rsid w:val="00D81EA3"/>
    <w:rsid w:val="00D81F3E"/>
    <w:rsid w:val="00D8254B"/>
    <w:rsid w:val="00D84E76"/>
    <w:rsid w:val="00D84F15"/>
    <w:rsid w:val="00D8540E"/>
    <w:rsid w:val="00D85C4D"/>
    <w:rsid w:val="00D8730B"/>
    <w:rsid w:val="00D87464"/>
    <w:rsid w:val="00D90110"/>
    <w:rsid w:val="00D9072A"/>
    <w:rsid w:val="00D93330"/>
    <w:rsid w:val="00D936B5"/>
    <w:rsid w:val="00D94852"/>
    <w:rsid w:val="00D9529D"/>
    <w:rsid w:val="00D95B72"/>
    <w:rsid w:val="00DA039C"/>
    <w:rsid w:val="00DA03B9"/>
    <w:rsid w:val="00DA0DB4"/>
    <w:rsid w:val="00DA10B4"/>
    <w:rsid w:val="00DA2226"/>
    <w:rsid w:val="00DA225C"/>
    <w:rsid w:val="00DA2561"/>
    <w:rsid w:val="00DA3A8E"/>
    <w:rsid w:val="00DA46FE"/>
    <w:rsid w:val="00DA56B0"/>
    <w:rsid w:val="00DA62C3"/>
    <w:rsid w:val="00DA6EBE"/>
    <w:rsid w:val="00DA784F"/>
    <w:rsid w:val="00DB03D8"/>
    <w:rsid w:val="00DB1510"/>
    <w:rsid w:val="00DB27CC"/>
    <w:rsid w:val="00DB3AA2"/>
    <w:rsid w:val="00DB42A4"/>
    <w:rsid w:val="00DB4645"/>
    <w:rsid w:val="00DB4EF9"/>
    <w:rsid w:val="00DB59C9"/>
    <w:rsid w:val="00DB63BE"/>
    <w:rsid w:val="00DB66E5"/>
    <w:rsid w:val="00DB771F"/>
    <w:rsid w:val="00DC0BD4"/>
    <w:rsid w:val="00DC0DA0"/>
    <w:rsid w:val="00DC1330"/>
    <w:rsid w:val="00DC29FE"/>
    <w:rsid w:val="00DC2ED8"/>
    <w:rsid w:val="00DC4155"/>
    <w:rsid w:val="00DC430C"/>
    <w:rsid w:val="00DC4427"/>
    <w:rsid w:val="00DC4C6E"/>
    <w:rsid w:val="00DC58C8"/>
    <w:rsid w:val="00DC5D9F"/>
    <w:rsid w:val="00DC60FB"/>
    <w:rsid w:val="00DC6E72"/>
    <w:rsid w:val="00DC7319"/>
    <w:rsid w:val="00DC742E"/>
    <w:rsid w:val="00DC7D7C"/>
    <w:rsid w:val="00DD02C9"/>
    <w:rsid w:val="00DD0300"/>
    <w:rsid w:val="00DD10DC"/>
    <w:rsid w:val="00DD1D12"/>
    <w:rsid w:val="00DD2AA4"/>
    <w:rsid w:val="00DD38DC"/>
    <w:rsid w:val="00DD42C7"/>
    <w:rsid w:val="00DD63FF"/>
    <w:rsid w:val="00DD6443"/>
    <w:rsid w:val="00DD7225"/>
    <w:rsid w:val="00DD7814"/>
    <w:rsid w:val="00DE0ADC"/>
    <w:rsid w:val="00DE1C3C"/>
    <w:rsid w:val="00DE1FD4"/>
    <w:rsid w:val="00DE2991"/>
    <w:rsid w:val="00DE3D1C"/>
    <w:rsid w:val="00DE51F8"/>
    <w:rsid w:val="00DE5FCB"/>
    <w:rsid w:val="00DE64B8"/>
    <w:rsid w:val="00DE7AD2"/>
    <w:rsid w:val="00DF051C"/>
    <w:rsid w:val="00DF22FD"/>
    <w:rsid w:val="00DF2CF5"/>
    <w:rsid w:val="00DF3145"/>
    <w:rsid w:val="00DF4435"/>
    <w:rsid w:val="00DF4B0E"/>
    <w:rsid w:val="00DF518D"/>
    <w:rsid w:val="00DF54D4"/>
    <w:rsid w:val="00DF7A28"/>
    <w:rsid w:val="00E00387"/>
    <w:rsid w:val="00E00E32"/>
    <w:rsid w:val="00E00F65"/>
    <w:rsid w:val="00E01CAE"/>
    <w:rsid w:val="00E01E4B"/>
    <w:rsid w:val="00E01EA9"/>
    <w:rsid w:val="00E020B7"/>
    <w:rsid w:val="00E021FB"/>
    <w:rsid w:val="00E02871"/>
    <w:rsid w:val="00E02D9B"/>
    <w:rsid w:val="00E050D4"/>
    <w:rsid w:val="00E05310"/>
    <w:rsid w:val="00E056C5"/>
    <w:rsid w:val="00E05B66"/>
    <w:rsid w:val="00E062B0"/>
    <w:rsid w:val="00E06881"/>
    <w:rsid w:val="00E0711E"/>
    <w:rsid w:val="00E07706"/>
    <w:rsid w:val="00E0770C"/>
    <w:rsid w:val="00E07CD6"/>
    <w:rsid w:val="00E07E63"/>
    <w:rsid w:val="00E11A63"/>
    <w:rsid w:val="00E13187"/>
    <w:rsid w:val="00E13A9F"/>
    <w:rsid w:val="00E14D99"/>
    <w:rsid w:val="00E14DFA"/>
    <w:rsid w:val="00E1515E"/>
    <w:rsid w:val="00E17EA5"/>
    <w:rsid w:val="00E20BEE"/>
    <w:rsid w:val="00E20C7A"/>
    <w:rsid w:val="00E224E1"/>
    <w:rsid w:val="00E22584"/>
    <w:rsid w:val="00E22761"/>
    <w:rsid w:val="00E229DB"/>
    <w:rsid w:val="00E247DD"/>
    <w:rsid w:val="00E24E14"/>
    <w:rsid w:val="00E2571A"/>
    <w:rsid w:val="00E26446"/>
    <w:rsid w:val="00E26AA8"/>
    <w:rsid w:val="00E26EDC"/>
    <w:rsid w:val="00E2713C"/>
    <w:rsid w:val="00E277BA"/>
    <w:rsid w:val="00E27D3B"/>
    <w:rsid w:val="00E305C1"/>
    <w:rsid w:val="00E3070F"/>
    <w:rsid w:val="00E30AFD"/>
    <w:rsid w:val="00E30B42"/>
    <w:rsid w:val="00E3170F"/>
    <w:rsid w:val="00E3245B"/>
    <w:rsid w:val="00E33531"/>
    <w:rsid w:val="00E336D0"/>
    <w:rsid w:val="00E342D7"/>
    <w:rsid w:val="00E3441C"/>
    <w:rsid w:val="00E34B34"/>
    <w:rsid w:val="00E35109"/>
    <w:rsid w:val="00E35C26"/>
    <w:rsid w:val="00E35C5F"/>
    <w:rsid w:val="00E36836"/>
    <w:rsid w:val="00E36F96"/>
    <w:rsid w:val="00E410C8"/>
    <w:rsid w:val="00E410EA"/>
    <w:rsid w:val="00E41D5C"/>
    <w:rsid w:val="00E42482"/>
    <w:rsid w:val="00E42A64"/>
    <w:rsid w:val="00E437F7"/>
    <w:rsid w:val="00E44627"/>
    <w:rsid w:val="00E45149"/>
    <w:rsid w:val="00E4690F"/>
    <w:rsid w:val="00E46E5D"/>
    <w:rsid w:val="00E50765"/>
    <w:rsid w:val="00E51A4F"/>
    <w:rsid w:val="00E52886"/>
    <w:rsid w:val="00E52924"/>
    <w:rsid w:val="00E52A89"/>
    <w:rsid w:val="00E530A6"/>
    <w:rsid w:val="00E5354E"/>
    <w:rsid w:val="00E53647"/>
    <w:rsid w:val="00E55017"/>
    <w:rsid w:val="00E552A9"/>
    <w:rsid w:val="00E55416"/>
    <w:rsid w:val="00E557D1"/>
    <w:rsid w:val="00E56282"/>
    <w:rsid w:val="00E566F8"/>
    <w:rsid w:val="00E56AAD"/>
    <w:rsid w:val="00E570EF"/>
    <w:rsid w:val="00E57A46"/>
    <w:rsid w:val="00E607A1"/>
    <w:rsid w:val="00E60BC0"/>
    <w:rsid w:val="00E61564"/>
    <w:rsid w:val="00E616BF"/>
    <w:rsid w:val="00E61B7D"/>
    <w:rsid w:val="00E61D4A"/>
    <w:rsid w:val="00E631C5"/>
    <w:rsid w:val="00E6354D"/>
    <w:rsid w:val="00E63915"/>
    <w:rsid w:val="00E63AC4"/>
    <w:rsid w:val="00E64D00"/>
    <w:rsid w:val="00E657D7"/>
    <w:rsid w:val="00E658AA"/>
    <w:rsid w:val="00E669B1"/>
    <w:rsid w:val="00E7031F"/>
    <w:rsid w:val="00E70D30"/>
    <w:rsid w:val="00E71517"/>
    <w:rsid w:val="00E716BA"/>
    <w:rsid w:val="00E717C4"/>
    <w:rsid w:val="00E74F24"/>
    <w:rsid w:val="00E75667"/>
    <w:rsid w:val="00E75977"/>
    <w:rsid w:val="00E76431"/>
    <w:rsid w:val="00E7686D"/>
    <w:rsid w:val="00E77445"/>
    <w:rsid w:val="00E813BA"/>
    <w:rsid w:val="00E816D6"/>
    <w:rsid w:val="00E819FF"/>
    <w:rsid w:val="00E824C3"/>
    <w:rsid w:val="00E82668"/>
    <w:rsid w:val="00E82897"/>
    <w:rsid w:val="00E82904"/>
    <w:rsid w:val="00E829DB"/>
    <w:rsid w:val="00E82A5B"/>
    <w:rsid w:val="00E83183"/>
    <w:rsid w:val="00E8323B"/>
    <w:rsid w:val="00E8590C"/>
    <w:rsid w:val="00E85F76"/>
    <w:rsid w:val="00E86398"/>
    <w:rsid w:val="00E91523"/>
    <w:rsid w:val="00E91BE1"/>
    <w:rsid w:val="00E9253B"/>
    <w:rsid w:val="00E93590"/>
    <w:rsid w:val="00E94041"/>
    <w:rsid w:val="00E94141"/>
    <w:rsid w:val="00E942FC"/>
    <w:rsid w:val="00E94506"/>
    <w:rsid w:val="00E954F5"/>
    <w:rsid w:val="00E957DA"/>
    <w:rsid w:val="00E95A7B"/>
    <w:rsid w:val="00E969E9"/>
    <w:rsid w:val="00E970BB"/>
    <w:rsid w:val="00EA01A0"/>
    <w:rsid w:val="00EA0DC6"/>
    <w:rsid w:val="00EA0EA7"/>
    <w:rsid w:val="00EA155A"/>
    <w:rsid w:val="00EA24D4"/>
    <w:rsid w:val="00EA2851"/>
    <w:rsid w:val="00EA32AD"/>
    <w:rsid w:val="00EA34B3"/>
    <w:rsid w:val="00EA3515"/>
    <w:rsid w:val="00EA3689"/>
    <w:rsid w:val="00EA3937"/>
    <w:rsid w:val="00EA44F9"/>
    <w:rsid w:val="00EA4ECA"/>
    <w:rsid w:val="00EA50FA"/>
    <w:rsid w:val="00EA5591"/>
    <w:rsid w:val="00EA55FE"/>
    <w:rsid w:val="00EA57CB"/>
    <w:rsid w:val="00EA6BDA"/>
    <w:rsid w:val="00EA7A03"/>
    <w:rsid w:val="00EB07C2"/>
    <w:rsid w:val="00EB0B4F"/>
    <w:rsid w:val="00EB1B59"/>
    <w:rsid w:val="00EB3943"/>
    <w:rsid w:val="00EB4175"/>
    <w:rsid w:val="00EB4384"/>
    <w:rsid w:val="00EB4F4E"/>
    <w:rsid w:val="00EB6065"/>
    <w:rsid w:val="00EB618C"/>
    <w:rsid w:val="00EB63F9"/>
    <w:rsid w:val="00EB7D65"/>
    <w:rsid w:val="00EC0826"/>
    <w:rsid w:val="00EC0B3F"/>
    <w:rsid w:val="00EC1C58"/>
    <w:rsid w:val="00EC1C70"/>
    <w:rsid w:val="00EC2F5A"/>
    <w:rsid w:val="00EC36D0"/>
    <w:rsid w:val="00EC4E99"/>
    <w:rsid w:val="00EC5134"/>
    <w:rsid w:val="00EC55ED"/>
    <w:rsid w:val="00EC5AAD"/>
    <w:rsid w:val="00EC6330"/>
    <w:rsid w:val="00EC7EE4"/>
    <w:rsid w:val="00ED0284"/>
    <w:rsid w:val="00ED0E0C"/>
    <w:rsid w:val="00ED0F7D"/>
    <w:rsid w:val="00ED35EC"/>
    <w:rsid w:val="00ED3A21"/>
    <w:rsid w:val="00ED446C"/>
    <w:rsid w:val="00ED46EC"/>
    <w:rsid w:val="00ED498E"/>
    <w:rsid w:val="00ED5C20"/>
    <w:rsid w:val="00ED6982"/>
    <w:rsid w:val="00EE0218"/>
    <w:rsid w:val="00EE0560"/>
    <w:rsid w:val="00EE061F"/>
    <w:rsid w:val="00EE07F6"/>
    <w:rsid w:val="00EE0E54"/>
    <w:rsid w:val="00EE1033"/>
    <w:rsid w:val="00EE1EF2"/>
    <w:rsid w:val="00EE21B5"/>
    <w:rsid w:val="00EE32E5"/>
    <w:rsid w:val="00EE359A"/>
    <w:rsid w:val="00EE5F8D"/>
    <w:rsid w:val="00EE660C"/>
    <w:rsid w:val="00EE6C3F"/>
    <w:rsid w:val="00EE6D4B"/>
    <w:rsid w:val="00EF209D"/>
    <w:rsid w:val="00EF24BB"/>
    <w:rsid w:val="00EF2B90"/>
    <w:rsid w:val="00EF2D50"/>
    <w:rsid w:val="00EF32F6"/>
    <w:rsid w:val="00EF4089"/>
    <w:rsid w:val="00EF4114"/>
    <w:rsid w:val="00EF448F"/>
    <w:rsid w:val="00EF4634"/>
    <w:rsid w:val="00EF463B"/>
    <w:rsid w:val="00EF472E"/>
    <w:rsid w:val="00EF4A5A"/>
    <w:rsid w:val="00EF4C8E"/>
    <w:rsid w:val="00EF4EC4"/>
    <w:rsid w:val="00EF5597"/>
    <w:rsid w:val="00EF5B65"/>
    <w:rsid w:val="00EF66A9"/>
    <w:rsid w:val="00EF6E31"/>
    <w:rsid w:val="00EF74D8"/>
    <w:rsid w:val="00EF7554"/>
    <w:rsid w:val="00EF7BB4"/>
    <w:rsid w:val="00EF7BEC"/>
    <w:rsid w:val="00EF7F4D"/>
    <w:rsid w:val="00F01898"/>
    <w:rsid w:val="00F018C4"/>
    <w:rsid w:val="00F01AF6"/>
    <w:rsid w:val="00F01D48"/>
    <w:rsid w:val="00F034D8"/>
    <w:rsid w:val="00F044C6"/>
    <w:rsid w:val="00F04519"/>
    <w:rsid w:val="00F05EE0"/>
    <w:rsid w:val="00F05F36"/>
    <w:rsid w:val="00F0634B"/>
    <w:rsid w:val="00F06985"/>
    <w:rsid w:val="00F06C0F"/>
    <w:rsid w:val="00F07DE8"/>
    <w:rsid w:val="00F07F11"/>
    <w:rsid w:val="00F11819"/>
    <w:rsid w:val="00F11888"/>
    <w:rsid w:val="00F14D51"/>
    <w:rsid w:val="00F156B3"/>
    <w:rsid w:val="00F15CA9"/>
    <w:rsid w:val="00F15FD8"/>
    <w:rsid w:val="00F16133"/>
    <w:rsid w:val="00F17949"/>
    <w:rsid w:val="00F17AE7"/>
    <w:rsid w:val="00F217E1"/>
    <w:rsid w:val="00F21A1A"/>
    <w:rsid w:val="00F21EC1"/>
    <w:rsid w:val="00F22813"/>
    <w:rsid w:val="00F22DA5"/>
    <w:rsid w:val="00F22FC8"/>
    <w:rsid w:val="00F256A1"/>
    <w:rsid w:val="00F26638"/>
    <w:rsid w:val="00F26BDB"/>
    <w:rsid w:val="00F27F36"/>
    <w:rsid w:val="00F32A71"/>
    <w:rsid w:val="00F32B8C"/>
    <w:rsid w:val="00F33383"/>
    <w:rsid w:val="00F3368F"/>
    <w:rsid w:val="00F33C54"/>
    <w:rsid w:val="00F33D5B"/>
    <w:rsid w:val="00F343A4"/>
    <w:rsid w:val="00F3560F"/>
    <w:rsid w:val="00F4030B"/>
    <w:rsid w:val="00F408EA"/>
    <w:rsid w:val="00F40A66"/>
    <w:rsid w:val="00F4290F"/>
    <w:rsid w:val="00F42ACE"/>
    <w:rsid w:val="00F42F65"/>
    <w:rsid w:val="00F43624"/>
    <w:rsid w:val="00F444F5"/>
    <w:rsid w:val="00F45315"/>
    <w:rsid w:val="00F454F0"/>
    <w:rsid w:val="00F45BB9"/>
    <w:rsid w:val="00F4602E"/>
    <w:rsid w:val="00F4640F"/>
    <w:rsid w:val="00F46BCF"/>
    <w:rsid w:val="00F46D04"/>
    <w:rsid w:val="00F473E0"/>
    <w:rsid w:val="00F50911"/>
    <w:rsid w:val="00F50D71"/>
    <w:rsid w:val="00F515AF"/>
    <w:rsid w:val="00F519D9"/>
    <w:rsid w:val="00F51CAB"/>
    <w:rsid w:val="00F526D4"/>
    <w:rsid w:val="00F52B21"/>
    <w:rsid w:val="00F53A9E"/>
    <w:rsid w:val="00F53E05"/>
    <w:rsid w:val="00F5401A"/>
    <w:rsid w:val="00F54077"/>
    <w:rsid w:val="00F5550A"/>
    <w:rsid w:val="00F55A56"/>
    <w:rsid w:val="00F55E99"/>
    <w:rsid w:val="00F56088"/>
    <w:rsid w:val="00F5725E"/>
    <w:rsid w:val="00F601FA"/>
    <w:rsid w:val="00F6031D"/>
    <w:rsid w:val="00F60915"/>
    <w:rsid w:val="00F61303"/>
    <w:rsid w:val="00F626F1"/>
    <w:rsid w:val="00F62C79"/>
    <w:rsid w:val="00F62FBF"/>
    <w:rsid w:val="00F65173"/>
    <w:rsid w:val="00F65503"/>
    <w:rsid w:val="00F65606"/>
    <w:rsid w:val="00F66614"/>
    <w:rsid w:val="00F67764"/>
    <w:rsid w:val="00F67C32"/>
    <w:rsid w:val="00F7096C"/>
    <w:rsid w:val="00F71232"/>
    <w:rsid w:val="00F728F6"/>
    <w:rsid w:val="00F72DEB"/>
    <w:rsid w:val="00F7470F"/>
    <w:rsid w:val="00F74722"/>
    <w:rsid w:val="00F74F6E"/>
    <w:rsid w:val="00F75A32"/>
    <w:rsid w:val="00F75F45"/>
    <w:rsid w:val="00F7602A"/>
    <w:rsid w:val="00F76147"/>
    <w:rsid w:val="00F7614A"/>
    <w:rsid w:val="00F7709A"/>
    <w:rsid w:val="00F77283"/>
    <w:rsid w:val="00F77D5B"/>
    <w:rsid w:val="00F77EEA"/>
    <w:rsid w:val="00F80359"/>
    <w:rsid w:val="00F804FE"/>
    <w:rsid w:val="00F807EF"/>
    <w:rsid w:val="00F81152"/>
    <w:rsid w:val="00F81EBC"/>
    <w:rsid w:val="00F82728"/>
    <w:rsid w:val="00F82957"/>
    <w:rsid w:val="00F83BD2"/>
    <w:rsid w:val="00F844F3"/>
    <w:rsid w:val="00F85516"/>
    <w:rsid w:val="00F857CA"/>
    <w:rsid w:val="00F85CA5"/>
    <w:rsid w:val="00F8749E"/>
    <w:rsid w:val="00F9087C"/>
    <w:rsid w:val="00F9097A"/>
    <w:rsid w:val="00F90F0B"/>
    <w:rsid w:val="00F917B2"/>
    <w:rsid w:val="00F91AA8"/>
    <w:rsid w:val="00F92B52"/>
    <w:rsid w:val="00F92C2B"/>
    <w:rsid w:val="00F94241"/>
    <w:rsid w:val="00F945CD"/>
    <w:rsid w:val="00F94BEA"/>
    <w:rsid w:val="00F95ECF"/>
    <w:rsid w:val="00F96BE9"/>
    <w:rsid w:val="00F97182"/>
    <w:rsid w:val="00F97399"/>
    <w:rsid w:val="00F978B6"/>
    <w:rsid w:val="00F9792C"/>
    <w:rsid w:val="00F97CB4"/>
    <w:rsid w:val="00FA005A"/>
    <w:rsid w:val="00FA0FD8"/>
    <w:rsid w:val="00FA4AD8"/>
    <w:rsid w:val="00FA4CC3"/>
    <w:rsid w:val="00FA5B48"/>
    <w:rsid w:val="00FA5BD2"/>
    <w:rsid w:val="00FA6F4D"/>
    <w:rsid w:val="00FA71FD"/>
    <w:rsid w:val="00FA7B03"/>
    <w:rsid w:val="00FB05E6"/>
    <w:rsid w:val="00FB0E0E"/>
    <w:rsid w:val="00FB113A"/>
    <w:rsid w:val="00FB1407"/>
    <w:rsid w:val="00FB34DD"/>
    <w:rsid w:val="00FB3597"/>
    <w:rsid w:val="00FB37D7"/>
    <w:rsid w:val="00FB3BC9"/>
    <w:rsid w:val="00FB4295"/>
    <w:rsid w:val="00FB4D0A"/>
    <w:rsid w:val="00FB53CA"/>
    <w:rsid w:val="00FB5BFB"/>
    <w:rsid w:val="00FB5C3B"/>
    <w:rsid w:val="00FC07DC"/>
    <w:rsid w:val="00FC0AC4"/>
    <w:rsid w:val="00FC1EC1"/>
    <w:rsid w:val="00FC1F97"/>
    <w:rsid w:val="00FC26CA"/>
    <w:rsid w:val="00FC2AC5"/>
    <w:rsid w:val="00FC2FF9"/>
    <w:rsid w:val="00FC3750"/>
    <w:rsid w:val="00FC3796"/>
    <w:rsid w:val="00FC3F00"/>
    <w:rsid w:val="00FC487C"/>
    <w:rsid w:val="00FC51A5"/>
    <w:rsid w:val="00FC664F"/>
    <w:rsid w:val="00FC698A"/>
    <w:rsid w:val="00FC71FF"/>
    <w:rsid w:val="00FC7AF2"/>
    <w:rsid w:val="00FD0412"/>
    <w:rsid w:val="00FD0B57"/>
    <w:rsid w:val="00FD0F1A"/>
    <w:rsid w:val="00FD0F51"/>
    <w:rsid w:val="00FD168A"/>
    <w:rsid w:val="00FD3643"/>
    <w:rsid w:val="00FD3B00"/>
    <w:rsid w:val="00FD43A3"/>
    <w:rsid w:val="00FD5094"/>
    <w:rsid w:val="00FD553C"/>
    <w:rsid w:val="00FD5DCA"/>
    <w:rsid w:val="00FD6058"/>
    <w:rsid w:val="00FD6F5E"/>
    <w:rsid w:val="00FE0438"/>
    <w:rsid w:val="00FE087D"/>
    <w:rsid w:val="00FE0F16"/>
    <w:rsid w:val="00FE10A4"/>
    <w:rsid w:val="00FE133D"/>
    <w:rsid w:val="00FE1DB3"/>
    <w:rsid w:val="00FE2090"/>
    <w:rsid w:val="00FE2AC3"/>
    <w:rsid w:val="00FE2BD5"/>
    <w:rsid w:val="00FE2C97"/>
    <w:rsid w:val="00FE359D"/>
    <w:rsid w:val="00FE3D1A"/>
    <w:rsid w:val="00FE429A"/>
    <w:rsid w:val="00FE47EA"/>
    <w:rsid w:val="00FE51B3"/>
    <w:rsid w:val="00FE7BC4"/>
    <w:rsid w:val="00FF0347"/>
    <w:rsid w:val="00FF1D90"/>
    <w:rsid w:val="00FF29D4"/>
    <w:rsid w:val="00FF30AC"/>
    <w:rsid w:val="00FF3649"/>
    <w:rsid w:val="00FF388D"/>
    <w:rsid w:val="00FF3A01"/>
    <w:rsid w:val="00FF5985"/>
    <w:rsid w:val="00FF6525"/>
    <w:rsid w:val="00F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C3CFF1"/>
  <w15:chartTrackingRefBased/>
  <w15:docId w15:val="{7D25DDEC-2D67-46D5-9872-FC3FC444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H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A23"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Normal"/>
    <w:rsid w:val="00004A23"/>
    <w:rPr>
      <w:b/>
    </w:rPr>
  </w:style>
  <w:style w:type="paragraph" w:customStyle="1" w:styleId="AuthorsFull">
    <w:name w:val="Authors Full"/>
    <w:basedOn w:val="Normal"/>
    <w:rsid w:val="00004A23"/>
    <w:rPr>
      <w:i/>
    </w:rPr>
  </w:style>
  <w:style w:type="paragraph" w:customStyle="1" w:styleId="dedication">
    <w:name w:val="dedication"/>
    <w:basedOn w:val="Normal"/>
    <w:rsid w:val="00004A23"/>
    <w:rPr>
      <w:i/>
    </w:rPr>
  </w:style>
  <w:style w:type="paragraph" w:customStyle="1" w:styleId="Addresses">
    <w:name w:val="Addresses"/>
    <w:basedOn w:val="Normal"/>
    <w:rsid w:val="00004A23"/>
  </w:style>
  <w:style w:type="paragraph" w:customStyle="1" w:styleId="Acknowledgements">
    <w:name w:val="Acknowledgements"/>
    <w:basedOn w:val="Normal"/>
    <w:rsid w:val="00004A23"/>
  </w:style>
  <w:style w:type="paragraph" w:customStyle="1" w:styleId="Abstract">
    <w:name w:val="Abstract"/>
    <w:basedOn w:val="Normal"/>
    <w:autoRedefine/>
    <w:rsid w:val="002C0143"/>
    <w:pPr>
      <w:spacing w:line="480" w:lineRule="auto"/>
    </w:pPr>
    <w:rPr>
      <w:b/>
      <w:sz w:val="28"/>
      <w:szCs w:val="28"/>
    </w:rPr>
  </w:style>
  <w:style w:type="paragraph" w:customStyle="1" w:styleId="Head1">
    <w:name w:val="Head 1"/>
    <w:basedOn w:val="Normal"/>
    <w:autoRedefine/>
    <w:rsid w:val="000D4E8A"/>
    <w:pPr>
      <w:spacing w:beforeLines="100" w:before="240" w:line="480" w:lineRule="auto"/>
      <w:jc w:val="both"/>
    </w:pPr>
    <w:rPr>
      <w:bCs/>
      <w:color w:val="000000" w:themeColor="text1"/>
      <w:lang w:val="en-HK" w:eastAsia="zh-CN"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</w:rPr>
  </w:style>
  <w:style w:type="paragraph" w:customStyle="1" w:styleId="dates">
    <w:name w:val="dates"/>
    <w:basedOn w:val="Normal"/>
    <w:rsid w:val="00004A23"/>
    <w:pPr>
      <w:jc w:val="right"/>
    </w:p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</w:style>
  <w:style w:type="paragraph" w:customStyle="1" w:styleId="Tableofcontents">
    <w:name w:val="Table of contents"/>
    <w:basedOn w:val="Normal"/>
    <w:autoRedefine/>
    <w:qFormat/>
    <w:rsid w:val="00DF4435"/>
    <w:pPr>
      <w:jc w:val="both"/>
    </w:pPr>
    <w:rPr>
      <w:rFonts w:eastAsia="宋体"/>
      <w:i/>
      <w:lang w:eastAsia="zh-CN"/>
    </w:rPr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</w:rPr>
  </w:style>
  <w:style w:type="paragraph" w:customStyle="1" w:styleId="Dedication0">
    <w:name w:val="Dedication"/>
    <w:basedOn w:val="Normal"/>
    <w:autoRedefine/>
    <w:rsid w:val="00322D5B"/>
  </w:style>
  <w:style w:type="paragraph" w:customStyle="1" w:styleId="Maintext0">
    <w:name w:val="Main text"/>
    <w:basedOn w:val="Normal"/>
    <w:link w:val="MaintextChar0"/>
    <w:autoRedefine/>
    <w:rsid w:val="00EA0DC6"/>
    <w:pPr>
      <w:spacing w:line="480" w:lineRule="auto"/>
      <w:jc w:val="center"/>
    </w:pPr>
  </w:style>
  <w:style w:type="character" w:customStyle="1" w:styleId="MaintextChar0">
    <w:name w:val="Main text Char"/>
    <w:link w:val="Maintext0"/>
    <w:rsid w:val="00EA0DC6"/>
    <w:rPr>
      <w:sz w:val="24"/>
      <w:szCs w:val="24"/>
      <w:lang w:eastAsia="ja-JP"/>
    </w:rPr>
  </w:style>
  <w:style w:type="paragraph" w:customStyle="1" w:styleId="Biography">
    <w:name w:val="Biography"/>
    <w:basedOn w:val="Normal"/>
    <w:autoRedefine/>
    <w:rsid w:val="00562E2B"/>
    <w:rPr>
      <w:i/>
    </w:rPr>
  </w:style>
  <w:style w:type="character" w:customStyle="1" w:styleId="HeaderChar">
    <w:name w:val="Header Char"/>
    <w:link w:val="Header"/>
    <w:rsid w:val="00414465"/>
    <w:rPr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character" w:customStyle="1" w:styleId="FooterChar">
    <w:name w:val="Footer Char"/>
    <w:link w:val="Footer"/>
    <w:uiPriority w:val="99"/>
    <w:rsid w:val="00250F21"/>
    <w:rPr>
      <w:sz w:val="24"/>
      <w:szCs w:val="24"/>
      <w:lang w:eastAsia="ja-JP"/>
    </w:rPr>
  </w:style>
  <w:style w:type="character" w:styleId="Hyperlink">
    <w:name w:val="Hyperlink"/>
    <w:uiPriority w:val="99"/>
    <w:unhideWhenUsed/>
    <w:rsid w:val="003D2B3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8A7DBF"/>
    <w:pPr>
      <w:widowControl w:val="0"/>
      <w:ind w:firstLineChars="200" w:firstLine="420"/>
      <w:jc w:val="both"/>
    </w:pPr>
    <w:rPr>
      <w:rFonts w:ascii="等线" w:eastAsia="等线" w:hAnsi="等线"/>
      <w:kern w:val="2"/>
      <w:sz w:val="21"/>
      <w:szCs w:val="22"/>
      <w:lang w:eastAsia="zh-CN"/>
    </w:rPr>
  </w:style>
  <w:style w:type="character" w:customStyle="1" w:styleId="EndNoteBibliography">
    <w:name w:val="EndNote Bibliography 字符"/>
    <w:link w:val="EndNoteBibliography0"/>
    <w:locked/>
    <w:rsid w:val="00453A55"/>
    <w:rPr>
      <w:rFonts w:ascii="等线" w:eastAsia="等线" w:hAnsi="等线"/>
      <w:noProof/>
      <w:lang w:val="en-US"/>
    </w:rPr>
  </w:style>
  <w:style w:type="paragraph" w:customStyle="1" w:styleId="EndNoteBibliography0">
    <w:name w:val="EndNote Bibliography"/>
    <w:basedOn w:val="Normal"/>
    <w:link w:val="EndNoteBibliography"/>
    <w:qFormat/>
    <w:rsid w:val="00453A55"/>
    <w:pPr>
      <w:widowControl w:val="0"/>
    </w:pPr>
    <w:rPr>
      <w:rFonts w:ascii="等线" w:eastAsia="等线" w:hAnsi="等线"/>
      <w:noProof/>
      <w:sz w:val="20"/>
      <w:szCs w:val="20"/>
      <w:lang w:eastAsia="zh-CN"/>
    </w:rPr>
  </w:style>
  <w:style w:type="paragraph" w:customStyle="1" w:styleId="EndNoteBibliographyTitle">
    <w:name w:val="EndNote Bibliography Title"/>
    <w:basedOn w:val="Normal"/>
    <w:link w:val="EndNoteBibliographyTitle0"/>
    <w:rsid w:val="00BD583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link w:val="EndNoteBibliographyTitle"/>
    <w:rsid w:val="00BD5835"/>
    <w:rPr>
      <w:rFonts w:ascii="等线" w:eastAsia="等线" w:hAnsi="等线"/>
      <w:noProof/>
      <w:szCs w:val="24"/>
      <w:lang w:val="en-US" w:eastAsia="ja-JP"/>
    </w:rPr>
  </w:style>
  <w:style w:type="paragraph" w:customStyle="1" w:styleId="RSCB02ArticleText">
    <w:name w:val="RSC B02 Article Text"/>
    <w:basedOn w:val="Normal"/>
    <w:link w:val="RSCB02ArticleTextChar"/>
    <w:qFormat/>
    <w:rsid w:val="00E954F5"/>
    <w:pPr>
      <w:tabs>
        <w:tab w:val="left" w:pos="284"/>
      </w:tabs>
      <w:spacing w:line="240" w:lineRule="exact"/>
      <w:jc w:val="both"/>
    </w:pPr>
    <w:rPr>
      <w:rFonts w:ascii="Calibri" w:eastAsia="等线" w:hAnsi="Calibri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link w:val="RSCB02ArticleText"/>
    <w:qFormat/>
    <w:rsid w:val="00E954F5"/>
    <w:rPr>
      <w:rFonts w:ascii="Calibri" w:eastAsia="等线" w:hAnsi="Calibri"/>
      <w:w w:val="108"/>
      <w:sz w:val="18"/>
      <w:szCs w:val="18"/>
      <w:lang w:val="en-GB" w:eastAsia="en-US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E954F5"/>
    <w:pPr>
      <w:pBdr>
        <w:top w:val="single" w:sz="12" w:space="5" w:color="999999"/>
      </w:pBdr>
      <w:spacing w:before="120" w:after="40"/>
      <w:jc w:val="both"/>
    </w:pPr>
    <w:rPr>
      <w:rFonts w:ascii="Calibri" w:eastAsia="等线" w:hAnsi="Calibri"/>
      <w:w w:val="108"/>
      <w:sz w:val="14"/>
      <w:szCs w:val="18"/>
      <w:lang w:val="en-GB" w:eastAsia="en-US"/>
    </w:rPr>
  </w:style>
  <w:style w:type="character" w:customStyle="1" w:styleId="RSCI02FigureSchemeChartwithtopbarChar">
    <w:name w:val="RSC I02 Figure/Scheme/Chart with top bar Char"/>
    <w:link w:val="RSCI02FigureSchemeChartwithtopbar"/>
    <w:qFormat/>
    <w:rsid w:val="00E954F5"/>
    <w:rPr>
      <w:rFonts w:ascii="Calibri" w:eastAsia="等线" w:hAnsi="Calibri"/>
      <w:w w:val="108"/>
      <w:sz w:val="14"/>
      <w:szCs w:val="18"/>
      <w:lang w:val="en-GB" w:eastAsia="en-US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E954F5"/>
    <w:pPr>
      <w:pBdr>
        <w:bottom w:val="single" w:sz="12" w:space="1" w:color="A6A6A6"/>
      </w:pBdr>
      <w:spacing w:after="200" w:line="276" w:lineRule="auto"/>
      <w:jc w:val="both"/>
    </w:pPr>
    <w:rPr>
      <w:rFonts w:ascii="Calibri" w:eastAsia="等线" w:hAnsi="Calibri"/>
      <w:bCs/>
      <w:sz w:val="14"/>
      <w:szCs w:val="18"/>
      <w:lang w:val="en-GB" w:eastAsia="en-US"/>
    </w:rPr>
  </w:style>
  <w:style w:type="character" w:customStyle="1" w:styleId="RSCI05CaptiontoFigureSchemeChartwithbottombarChar">
    <w:name w:val="RSC I05 Caption to Figure/Scheme/Chart with bottom bar Char"/>
    <w:link w:val="RSCI05CaptiontoFigureSchemeChartwithbottombar"/>
    <w:qFormat/>
    <w:rsid w:val="00E954F5"/>
    <w:rPr>
      <w:rFonts w:ascii="Calibri" w:eastAsia="等线" w:hAnsi="Calibri"/>
      <w:bCs/>
      <w:sz w:val="14"/>
      <w:szCs w:val="18"/>
      <w:lang w:val="en-GB" w:eastAsia="en-US"/>
    </w:rPr>
  </w:style>
  <w:style w:type="table" w:styleId="TableGrid">
    <w:name w:val="Table Grid"/>
    <w:basedOn w:val="TableNormal"/>
    <w:uiPriority w:val="39"/>
    <w:qFormat/>
    <w:rsid w:val="00273291"/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dNoteBibliographyChar">
    <w:name w:val="EndNote Bibliography Char"/>
    <w:qFormat/>
    <w:rsid w:val="00273291"/>
    <w:rPr>
      <w:rFonts w:ascii="Calibri" w:eastAsia="宋体" w:hAnsi="Calibri" w:cs="Calibri"/>
      <w:w w:val="105"/>
      <w:sz w:val="18"/>
      <w:szCs w:val="22"/>
      <w:lang w:eastAsia="en-US"/>
    </w:rPr>
  </w:style>
  <w:style w:type="paragraph" w:customStyle="1" w:styleId="EndNoteCategoryHeading">
    <w:name w:val="EndNote Category Heading"/>
    <w:basedOn w:val="Normal"/>
    <w:link w:val="EndNoteCategoryHeadingChar"/>
    <w:rsid w:val="00273291"/>
    <w:pPr>
      <w:spacing w:before="120" w:after="120" w:line="276" w:lineRule="auto"/>
    </w:pPr>
    <w:rPr>
      <w:rFonts w:ascii="Calibri" w:eastAsia="宋体" w:hAnsi="Calibri"/>
      <w:b/>
      <w:noProof/>
      <w:sz w:val="22"/>
      <w:szCs w:val="22"/>
      <w:lang w:eastAsia="en-US"/>
    </w:rPr>
  </w:style>
  <w:style w:type="character" w:customStyle="1" w:styleId="EndNoteCategoryHeadingChar">
    <w:name w:val="EndNote Category Heading Char"/>
    <w:link w:val="EndNoteCategoryHeading"/>
    <w:rsid w:val="00273291"/>
    <w:rPr>
      <w:rFonts w:ascii="Calibri" w:eastAsia="宋体" w:hAnsi="Calibri"/>
      <w:b/>
      <w:noProof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065D8E"/>
    <w:pPr>
      <w:spacing w:before="100" w:beforeAutospacing="1" w:after="100" w:afterAutospacing="1"/>
    </w:pPr>
    <w:rPr>
      <w:rFonts w:eastAsia="Times New Roman"/>
      <w:lang w:eastAsia="zh-CN"/>
    </w:rPr>
  </w:style>
  <w:style w:type="paragraph" w:styleId="Revision">
    <w:name w:val="Revision"/>
    <w:hidden/>
    <w:uiPriority w:val="99"/>
    <w:semiHidden/>
    <w:rsid w:val="00507CCE"/>
    <w:rPr>
      <w:sz w:val="24"/>
      <w:szCs w:val="24"/>
      <w:lang w:val="de-DE" w:eastAsia="ja-JP"/>
    </w:rPr>
  </w:style>
  <w:style w:type="character" w:customStyle="1" w:styleId="UnresolvedMention1">
    <w:name w:val="Unresolved Mention1"/>
    <w:uiPriority w:val="99"/>
    <w:semiHidden/>
    <w:unhideWhenUsed/>
    <w:rsid w:val="00E64D0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83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customXml" Target="../customXml/item3.xml"/><Relationship Id="rId4" Type="http://schemas.openxmlformats.org/officeDocument/2006/relationships/styles" Target="styles.xml"/><Relationship Id="rId9" Type="http://schemas.openxmlformats.org/officeDocument/2006/relationships/hyperlink" Target="mailto:chchoy@eee.hku.hk" TargetMode="External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Wylie\Lokale%20Einstellungen\Anwendungsdaten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0E3DAEA65ABA4696FB57E9DC05F090" ma:contentTypeVersion="3" ma:contentTypeDescription="Create a new document." ma:contentTypeScope="" ma:versionID="78e9a23061e5f2a2dcca35b40bb607c5">
  <xsd:schema xmlns:xsd="http://www.w3.org/2001/XMLSchema" xmlns:xs="http://www.w3.org/2001/XMLSchema" xmlns:p="http://schemas.microsoft.com/office/2006/metadata/properties" xmlns:ns2="8742f24e-a383-4b2b-b22d-6632cae5d517" targetNamespace="http://schemas.microsoft.com/office/2006/metadata/properties" ma:root="true" ma:fieldsID="8c6723b55f0b2bbc72129f72999ff87e" ns2:_="">
    <xsd:import namespace="8742f24e-a383-4b2b-b22d-6632cae5d5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2f24e-a383-4b2b-b22d-6632cae5d5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ED22B9-F78A-4581-AFB7-A0C4C70278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B4991C-846D-49EA-BEE6-5408586D13C2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C9A149B5-7106-4A7E-B45C-392863CCE122}"/>
</file>

<file path=customXml/itemProps4.xml><?xml version="1.0" encoding="utf-8"?>
<ds:datastoreItem xmlns:ds="http://schemas.openxmlformats.org/officeDocument/2006/customXml" ds:itemID="{971449BC-EF50-4A65-98BD-A6577CF391E1}"/>
</file>

<file path=customXml/itemProps5.xml><?xml version="1.0" encoding="utf-8"?>
<ds:datastoreItem xmlns:ds="http://schemas.openxmlformats.org/officeDocument/2006/customXml" ds:itemID="{E4E92A47-963F-48B2-8DE2-72E38F42A262}"/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140</TotalTime>
  <Pages>25</Pages>
  <Words>6180</Words>
  <Characters>35230</Characters>
  <Application>Microsoft Office Word</Application>
  <DocSecurity>0</DocSecurity>
  <Lines>293</Lines>
  <Paragraphs>82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DOI: 10</vt:lpstr>
      <vt:lpstr>DOI: 10</vt:lpstr>
    </vt:vector>
  </TitlesOfParts>
  <Company>WILEY-VCH Verlag GmbH &amp; Co. KGaA</Company>
  <LinksUpToDate>false</LinksUpToDate>
  <CharactersWithSpaces>41328</CharactersWithSpaces>
  <SharedDoc>false</SharedDoc>
  <HLinks>
    <vt:vector size="6" baseType="variant">
      <vt:variant>
        <vt:i4>2621510</vt:i4>
      </vt:variant>
      <vt:variant>
        <vt:i4>0</vt:i4>
      </vt:variant>
      <vt:variant>
        <vt:i4>0</vt:i4>
      </vt:variant>
      <vt:variant>
        <vt:i4>5</vt:i4>
      </vt:variant>
      <vt:variant>
        <vt:lpwstr>mailto:chchoy@eee.hku.hk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DOI: 10</dc:title>
  <dc:subject/>
  <dc:creator>ABoeer</dc:creator>
  <cp:keywords/>
  <dc:description/>
  <cp:lastModifiedBy>Xinjun He</cp:lastModifiedBy>
  <cp:revision>10</cp:revision>
  <cp:lastPrinted>2010-04-21T09:22:00Z</cp:lastPrinted>
  <dcterms:created xsi:type="dcterms:W3CDTF">2021-02-03T09:38:00Z</dcterms:created>
  <dcterms:modified xsi:type="dcterms:W3CDTF">2025-11-30T03:56:00Z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0x0101001A0E3DAEA65ABA4696FB57E9DC05F090</vt:lpwstr>
  </property>
</Properties>
</file>